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项目编号：JSZC-320500-JZCG-G2025-0605</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苏州市企业服务中心</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苏州市智能制造融合发展中心运营项目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68"/>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 11</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5"/>
        <w:ind w:firstLine="0"/>
        <w:jc w:val="left"/>
        <w:spacing w:before="120" w:after="120"/>
        <w:tabs>
          <w:tab w:val="right" w:pos="9856" w:leader="dot"/>
        </w:tabs>
        <w:rPr>
          <w:rStyle w:val="907"/>
          <w:rFonts w:ascii="宋体" w:hAnsi="宋体" w:cs="Calibri"/>
          <w:bCs/>
          <w:caps/>
          <w:color w:val="auto"/>
          <w:sz w:val="32"/>
          <w:szCs w:val="32"/>
        </w:rPr>
        <w:outlineLvl w:val="9"/>
      </w:pPr>
      <w:r>
        <w:rPr>
          <w:rFonts w:ascii="宋体" w:hAnsi="宋体" w:cs="Calibri"/>
          <w:bCs/>
          <w:caps/>
          <w:color w:val="auto"/>
          <w:sz w:val="32"/>
          <w:szCs w:val="32"/>
        </w:rPr>
      </w:r>
      <w:r/>
    </w:p>
    <w:p>
      <w:pPr>
        <w:pStyle w:val="875"/>
        <w:ind w:firstLine="0"/>
        <w:jc w:val="left"/>
        <w:spacing w:before="120" w:after="120"/>
        <w:tabs>
          <w:tab w:val="right" w:pos="9854" w:leader="dot"/>
        </w:tabs>
        <w:rPr>
          <w:rStyle w:val="907"/>
          <w:rFonts w:ascii="宋体" w:hAnsi="宋体" w:cs="Calibri"/>
          <w:bCs/>
          <w:caps/>
          <w:color w:val="auto"/>
          <w:sz w:val="32"/>
          <w:szCs w:val="32"/>
        </w:rPr>
        <w:outlineLvl w:val="9"/>
      </w:pPr>
      <w:r>
        <w:rPr>
          <w:rStyle w:val="907"/>
          <w:rFonts w:ascii="宋体" w:hAnsi="宋体" w:cs="Calibri"/>
          <w:bCs/>
          <w:caps/>
          <w:color w:val="auto"/>
          <w:sz w:val="32"/>
        </w:rPr>
        <w:fldChar w:fldCharType="begin"/>
      </w:r>
      <w:r>
        <w:rPr>
          <w:rStyle w:val="907"/>
          <w:rFonts w:ascii="宋体" w:hAnsi="宋体" w:cs="Calibri"/>
          <w:bCs/>
          <w:caps/>
          <w:color w:val="auto"/>
          <w:sz w:val="32"/>
        </w:rPr>
        <w:instrText xml:space="preserve"> TOC \o "1-1" \h \z \u </w:instrText>
      </w:r>
      <w:r>
        <w:rPr>
          <w:rStyle w:val="907"/>
          <w:rFonts w:ascii="宋体" w:hAnsi="宋体" w:cs="Calibri"/>
          <w:bCs/>
          <w:caps/>
          <w:color w:val="auto"/>
          <w:sz w:val="32"/>
        </w:rPr>
        <w:fldChar w:fldCharType="separate"/>
      </w:r>
      <w:hyperlink w:tooltip="#_Toc105397776" w:anchor="_Toc105397776" w:history="1">
        <w:r>
          <w:rPr>
            <w:rStyle w:val="907"/>
            <w:rFonts w:ascii="宋体" w:hAnsi="宋体" w:cs="Calibri"/>
            <w:bCs/>
            <w:caps/>
            <w:color w:val="auto"/>
            <w:sz w:val="32"/>
            <w:szCs w:val="32"/>
          </w:rPr>
          <w:t xml:space="preserve">第一章 投标邀请函</w:t>
        </w:r>
        <w:r>
          <w:rPr>
            <w:rStyle w:val="907"/>
            <w:rFonts w:ascii="宋体" w:hAnsi="宋体" w:cs="Calibri"/>
            <w:bCs/>
            <w:caps/>
            <w:color w:val="auto"/>
            <w:sz w:val="32"/>
            <w:szCs w:val="32"/>
          </w:rPr>
          <w:tab/>
        </w:r>
        <w:r>
          <w:rPr>
            <w:rStyle w:val="907"/>
            <w:rFonts w:ascii="宋体" w:hAnsi="宋体" w:cs="Calibri"/>
            <w:bCs/>
            <w:caps/>
            <w:color w:val="auto"/>
            <w:sz w:val="32"/>
            <w:szCs w:val="32"/>
          </w:rPr>
          <w:fldChar w:fldCharType="begin"/>
        </w:r>
        <w:r>
          <w:rPr>
            <w:rStyle w:val="907"/>
            <w:rFonts w:ascii="宋体" w:hAnsi="宋体" w:cs="Calibri"/>
            <w:bCs/>
            <w:caps/>
            <w:color w:val="auto"/>
            <w:sz w:val="32"/>
            <w:szCs w:val="32"/>
          </w:rPr>
          <w:instrText xml:space="preserve"> PAGEREF _Toc105397776 \h </w:instrText>
        </w:r>
        <w:r>
          <w:rPr>
            <w:rStyle w:val="907"/>
            <w:rFonts w:ascii="宋体" w:hAnsi="宋体" w:cs="Calibri"/>
            <w:bCs/>
            <w:caps/>
            <w:color w:val="auto"/>
            <w:sz w:val="32"/>
            <w:szCs w:val="32"/>
          </w:rPr>
        </w:r>
        <w:r>
          <w:rPr>
            <w:rStyle w:val="907"/>
            <w:rFonts w:ascii="宋体" w:hAnsi="宋体" w:cs="Calibri"/>
            <w:bCs/>
            <w:caps/>
            <w:color w:val="auto"/>
            <w:sz w:val="32"/>
            <w:szCs w:val="32"/>
          </w:rPr>
          <w:fldChar w:fldCharType="separate"/>
        </w:r>
        <w:r>
          <w:rPr>
            <w:rStyle w:val="907"/>
            <w:rFonts w:ascii="宋体" w:hAnsi="宋体" w:cs="Calibri"/>
            <w:bCs/>
            <w:caps/>
            <w:color w:val="auto"/>
            <w:sz w:val="32"/>
            <w:szCs w:val="32"/>
          </w:rPr>
          <w:t xml:space="preserve">5</w:t>
        </w:r>
        <w:r>
          <w:rPr>
            <w:rStyle w:val="907"/>
            <w:rFonts w:ascii="宋体" w:hAnsi="宋体" w:cs="Calibri"/>
            <w:bCs/>
            <w:caps/>
            <w:color w:val="auto"/>
            <w:sz w:val="32"/>
            <w:szCs w:val="32"/>
          </w:rPr>
          <w:fldChar w:fldCharType="end"/>
        </w:r>
      </w:hyperlink>
      <w:r/>
      <w:r/>
    </w:p>
    <w:p>
      <w:pPr>
        <w:pStyle w:val="875"/>
        <w:ind w:firstLine="0"/>
        <w:jc w:val="left"/>
        <w:spacing w:before="120" w:after="120"/>
        <w:tabs>
          <w:tab w:val="right" w:pos="9854" w:leader="dot"/>
        </w:tabs>
        <w:rPr>
          <w:rStyle w:val="907"/>
          <w:rFonts w:ascii="宋体" w:hAnsi="宋体" w:cs="Calibri"/>
          <w:bCs/>
          <w:caps/>
          <w:color w:val="auto"/>
          <w:sz w:val="32"/>
          <w:szCs w:val="32"/>
        </w:rPr>
        <w:outlineLvl w:val="9"/>
      </w:pPr>
      <w:r/>
      <w:hyperlink w:tooltip="#_Toc105397777" w:anchor="_Toc105397777" w:history="1">
        <w:r>
          <w:rPr>
            <w:rStyle w:val="907"/>
            <w:rFonts w:ascii="宋体" w:hAnsi="宋体" w:cs="Calibri"/>
            <w:bCs/>
            <w:caps/>
            <w:color w:val="auto"/>
            <w:sz w:val="32"/>
            <w:szCs w:val="32"/>
          </w:rPr>
          <w:t xml:space="preserve">第二章 投标人须知</w:t>
        </w:r>
        <w:r>
          <w:rPr>
            <w:rStyle w:val="907"/>
            <w:rFonts w:ascii="宋体" w:hAnsi="宋体" w:cs="Calibri"/>
            <w:bCs/>
            <w:caps/>
            <w:color w:val="auto"/>
            <w:sz w:val="32"/>
            <w:szCs w:val="32"/>
          </w:rPr>
          <w:tab/>
        </w:r>
        <w:r>
          <w:rPr>
            <w:rStyle w:val="907"/>
            <w:rFonts w:ascii="宋体" w:hAnsi="宋体" w:cs="Calibri"/>
            <w:bCs/>
            <w:caps/>
            <w:color w:val="auto"/>
            <w:sz w:val="32"/>
            <w:szCs w:val="32"/>
          </w:rPr>
          <w:fldChar w:fldCharType="begin"/>
        </w:r>
        <w:r>
          <w:rPr>
            <w:rStyle w:val="907"/>
            <w:rFonts w:ascii="宋体" w:hAnsi="宋体" w:cs="Calibri"/>
            <w:bCs/>
            <w:caps/>
            <w:color w:val="auto"/>
            <w:sz w:val="32"/>
            <w:szCs w:val="32"/>
          </w:rPr>
          <w:instrText xml:space="preserve"> PAGEREF _Toc105397777 \h </w:instrText>
        </w:r>
        <w:r>
          <w:rPr>
            <w:rStyle w:val="907"/>
            <w:rFonts w:ascii="宋体" w:hAnsi="宋体" w:cs="Calibri"/>
            <w:bCs/>
            <w:caps/>
            <w:color w:val="auto"/>
            <w:sz w:val="32"/>
            <w:szCs w:val="32"/>
          </w:rPr>
        </w:r>
        <w:r>
          <w:rPr>
            <w:rStyle w:val="907"/>
            <w:rFonts w:ascii="宋体" w:hAnsi="宋体" w:cs="Calibri"/>
            <w:bCs/>
            <w:caps/>
            <w:color w:val="auto"/>
            <w:sz w:val="32"/>
            <w:szCs w:val="32"/>
          </w:rPr>
          <w:fldChar w:fldCharType="separate"/>
        </w:r>
        <w:r>
          <w:rPr>
            <w:rStyle w:val="907"/>
            <w:rFonts w:ascii="宋体" w:hAnsi="宋体" w:cs="Calibri"/>
            <w:bCs/>
            <w:caps/>
            <w:color w:val="auto"/>
            <w:sz w:val="32"/>
            <w:szCs w:val="32"/>
          </w:rPr>
          <w:t xml:space="preserve">8</w:t>
        </w:r>
        <w:r>
          <w:rPr>
            <w:rStyle w:val="907"/>
            <w:rFonts w:ascii="宋体" w:hAnsi="宋体" w:cs="Calibri"/>
            <w:bCs/>
            <w:caps/>
            <w:color w:val="auto"/>
            <w:sz w:val="32"/>
            <w:szCs w:val="32"/>
          </w:rPr>
          <w:fldChar w:fldCharType="end"/>
        </w:r>
      </w:hyperlink>
      <w:r/>
      <w:r/>
    </w:p>
    <w:p>
      <w:pPr>
        <w:pStyle w:val="875"/>
        <w:ind w:firstLine="0"/>
        <w:jc w:val="left"/>
        <w:spacing w:before="120" w:after="120"/>
        <w:tabs>
          <w:tab w:val="right" w:pos="9854" w:leader="dot"/>
        </w:tabs>
        <w:rPr>
          <w:rStyle w:val="907"/>
          <w:rFonts w:ascii="宋体" w:hAnsi="宋体" w:cs="Calibri"/>
          <w:bCs/>
          <w:caps/>
          <w:color w:val="auto"/>
          <w:sz w:val="32"/>
          <w:szCs w:val="32"/>
        </w:rPr>
        <w:outlineLvl w:val="9"/>
      </w:pPr>
      <w:r/>
      <w:hyperlink w:tooltip="#_Toc105397778" w:anchor="_Toc105397778" w:history="1">
        <w:r>
          <w:rPr>
            <w:rStyle w:val="907"/>
            <w:rFonts w:ascii="宋体" w:hAnsi="宋体" w:cs="Calibri"/>
            <w:bCs/>
            <w:caps/>
            <w:color w:val="auto"/>
            <w:sz w:val="32"/>
            <w:szCs w:val="32"/>
          </w:rPr>
          <w:t xml:space="preserve">第三章 投标文件格式</w:t>
        </w:r>
        <w:r>
          <w:rPr>
            <w:rStyle w:val="907"/>
            <w:rFonts w:ascii="宋体" w:hAnsi="宋体" w:cs="Calibri"/>
            <w:bCs/>
            <w:caps/>
            <w:color w:val="auto"/>
            <w:sz w:val="32"/>
            <w:szCs w:val="32"/>
          </w:rPr>
          <w:tab/>
        </w:r>
        <w:r>
          <w:rPr>
            <w:rStyle w:val="907"/>
            <w:rFonts w:ascii="宋体" w:hAnsi="宋体" w:cs="Calibri"/>
            <w:bCs/>
            <w:caps/>
            <w:color w:val="auto"/>
            <w:sz w:val="32"/>
            <w:szCs w:val="32"/>
          </w:rPr>
          <w:fldChar w:fldCharType="begin"/>
        </w:r>
        <w:r>
          <w:rPr>
            <w:rStyle w:val="907"/>
            <w:rFonts w:ascii="宋体" w:hAnsi="宋体" w:cs="Calibri"/>
            <w:bCs/>
            <w:caps/>
            <w:color w:val="auto"/>
            <w:sz w:val="32"/>
            <w:szCs w:val="32"/>
          </w:rPr>
          <w:instrText xml:space="preserve"> PAGEREF _Toc105397778 \h </w:instrText>
        </w:r>
        <w:r>
          <w:rPr>
            <w:rStyle w:val="907"/>
            <w:rFonts w:ascii="宋体" w:hAnsi="宋体" w:cs="Calibri"/>
            <w:bCs/>
            <w:caps/>
            <w:color w:val="auto"/>
            <w:sz w:val="32"/>
            <w:szCs w:val="32"/>
          </w:rPr>
        </w:r>
        <w:r>
          <w:rPr>
            <w:rStyle w:val="907"/>
            <w:rFonts w:ascii="宋体" w:hAnsi="宋体" w:cs="Calibri"/>
            <w:bCs/>
            <w:caps/>
            <w:color w:val="auto"/>
            <w:sz w:val="32"/>
            <w:szCs w:val="32"/>
          </w:rPr>
          <w:fldChar w:fldCharType="separate"/>
        </w:r>
        <w:r>
          <w:rPr>
            <w:rStyle w:val="907"/>
            <w:rFonts w:ascii="宋体" w:hAnsi="宋体" w:cs="Calibri"/>
            <w:bCs/>
            <w:caps/>
            <w:color w:val="auto"/>
            <w:sz w:val="32"/>
            <w:szCs w:val="32"/>
          </w:rPr>
          <w:t xml:space="preserve">20</w:t>
        </w:r>
        <w:r>
          <w:rPr>
            <w:rStyle w:val="907"/>
            <w:rFonts w:ascii="宋体" w:hAnsi="宋体" w:cs="Calibri"/>
            <w:bCs/>
            <w:caps/>
            <w:color w:val="auto"/>
            <w:sz w:val="32"/>
            <w:szCs w:val="32"/>
          </w:rPr>
          <w:fldChar w:fldCharType="end"/>
        </w:r>
      </w:hyperlink>
      <w:r/>
      <w:r/>
    </w:p>
    <w:p>
      <w:pPr>
        <w:pStyle w:val="875"/>
        <w:ind w:firstLine="0"/>
        <w:jc w:val="left"/>
        <w:spacing w:before="120" w:after="120"/>
        <w:tabs>
          <w:tab w:val="right" w:pos="9854" w:leader="dot"/>
        </w:tabs>
        <w:rPr>
          <w:rStyle w:val="907"/>
          <w:rFonts w:ascii="宋体" w:hAnsi="宋体" w:cs="Calibri"/>
          <w:bCs/>
          <w:caps/>
          <w:color w:val="auto"/>
          <w:sz w:val="32"/>
          <w:szCs w:val="32"/>
        </w:rPr>
        <w:outlineLvl w:val="9"/>
      </w:pPr>
      <w:r/>
      <w:hyperlink w:tooltip="#_Toc105397793" w:anchor="_Toc105397793" w:history="1">
        <w:r>
          <w:rPr>
            <w:rStyle w:val="907"/>
            <w:rFonts w:ascii="宋体" w:hAnsi="宋体" w:cs="Calibri"/>
            <w:bCs/>
            <w:caps/>
            <w:color w:val="auto"/>
            <w:sz w:val="32"/>
            <w:szCs w:val="32"/>
          </w:rPr>
          <w:t xml:space="preserve">第四章 招标书</w:t>
        </w:r>
        <w:r>
          <w:rPr>
            <w:rStyle w:val="907"/>
            <w:rFonts w:ascii="宋体" w:hAnsi="宋体" w:cs="Calibri"/>
            <w:bCs/>
            <w:caps/>
            <w:color w:val="auto"/>
            <w:sz w:val="32"/>
            <w:szCs w:val="32"/>
          </w:rPr>
          <w:tab/>
        </w:r>
        <w:r>
          <w:rPr>
            <w:rStyle w:val="907"/>
            <w:rFonts w:ascii="宋体" w:hAnsi="宋体" w:cs="Calibri"/>
            <w:bCs/>
            <w:caps/>
            <w:color w:val="auto"/>
            <w:sz w:val="32"/>
            <w:szCs w:val="32"/>
          </w:rPr>
          <w:fldChar w:fldCharType="begin"/>
        </w:r>
        <w:r>
          <w:rPr>
            <w:rStyle w:val="907"/>
            <w:rFonts w:ascii="宋体" w:hAnsi="宋体" w:cs="Calibri"/>
            <w:bCs/>
            <w:caps/>
            <w:color w:val="auto"/>
            <w:sz w:val="32"/>
            <w:szCs w:val="32"/>
          </w:rPr>
          <w:instrText xml:space="preserve"> PAGEREF _Toc105397793 \h </w:instrText>
        </w:r>
        <w:r>
          <w:rPr>
            <w:rStyle w:val="907"/>
            <w:rFonts w:ascii="宋体" w:hAnsi="宋体" w:cs="Calibri"/>
            <w:bCs/>
            <w:caps/>
            <w:color w:val="auto"/>
            <w:sz w:val="32"/>
            <w:szCs w:val="32"/>
          </w:rPr>
        </w:r>
        <w:r>
          <w:rPr>
            <w:rStyle w:val="907"/>
            <w:rFonts w:ascii="宋体" w:hAnsi="宋体" w:cs="Calibri"/>
            <w:bCs/>
            <w:caps/>
            <w:color w:val="auto"/>
            <w:sz w:val="32"/>
            <w:szCs w:val="32"/>
          </w:rPr>
          <w:fldChar w:fldCharType="separate"/>
        </w:r>
        <w:r>
          <w:rPr>
            <w:rStyle w:val="907"/>
            <w:rFonts w:ascii="宋体" w:hAnsi="宋体" w:cs="Calibri"/>
            <w:bCs/>
            <w:caps/>
            <w:color w:val="auto"/>
            <w:sz w:val="32"/>
            <w:szCs w:val="32"/>
          </w:rPr>
          <w:t xml:space="preserve">33</w:t>
        </w:r>
        <w:r>
          <w:rPr>
            <w:rStyle w:val="907"/>
            <w:rFonts w:ascii="宋体" w:hAnsi="宋体" w:cs="Calibri"/>
            <w:bCs/>
            <w:caps/>
            <w:color w:val="auto"/>
            <w:sz w:val="32"/>
            <w:szCs w:val="32"/>
          </w:rPr>
          <w:fldChar w:fldCharType="end"/>
        </w:r>
      </w:hyperlink>
      <w:r/>
      <w:r/>
    </w:p>
    <w:p>
      <w:pPr>
        <w:pStyle w:val="875"/>
        <w:ind w:firstLine="0"/>
        <w:jc w:val="left"/>
        <w:spacing w:before="120" w:after="120"/>
        <w:tabs>
          <w:tab w:val="right" w:pos="9854" w:leader="dot"/>
        </w:tabs>
        <w:rPr>
          <w:rStyle w:val="907"/>
          <w:rFonts w:ascii="宋体" w:hAnsi="宋体" w:cs="Calibri"/>
          <w:bCs/>
          <w:caps/>
          <w:color w:val="auto"/>
          <w:sz w:val="32"/>
          <w:szCs w:val="32"/>
        </w:rPr>
        <w:outlineLvl w:val="9"/>
      </w:pPr>
      <w:r/>
      <w:hyperlink w:tooltip="#_Toc105397794" w:anchor="_Toc105397794" w:history="1">
        <w:r>
          <w:rPr>
            <w:rStyle w:val="907"/>
            <w:rFonts w:ascii="宋体" w:hAnsi="宋体" w:cs="Calibri"/>
            <w:bCs/>
            <w:caps/>
            <w:color w:val="auto"/>
            <w:sz w:val="32"/>
            <w:szCs w:val="32"/>
          </w:rPr>
          <w:t xml:space="preserve">第五章 合同及主要条款</w:t>
        </w:r>
        <w:r>
          <w:rPr>
            <w:rStyle w:val="907"/>
            <w:rFonts w:ascii="宋体" w:hAnsi="宋体" w:cs="Calibri"/>
            <w:bCs/>
            <w:caps/>
            <w:color w:val="auto"/>
            <w:sz w:val="32"/>
            <w:szCs w:val="32"/>
          </w:rPr>
          <w:tab/>
        </w:r>
        <w:r>
          <w:rPr>
            <w:rStyle w:val="907"/>
            <w:rFonts w:hint="eastAsia" w:ascii="宋体" w:hAnsi="宋体" w:cs="Calibri"/>
            <w:bCs/>
            <w:caps/>
            <w:color w:val="auto"/>
            <w:sz w:val="32"/>
            <w:szCs w:val="32"/>
          </w:rPr>
          <w:t xml:space="preserve">4</w:t>
        </w:r>
      </w:hyperlink>
      <w:r>
        <w:rPr>
          <w:rStyle w:val="907"/>
          <w:rFonts w:ascii="宋体" w:hAnsi="宋体" w:cs="Calibri"/>
          <w:bCs/>
          <w:caps/>
          <w:color w:val="auto"/>
          <w:sz w:val="32"/>
          <w:szCs w:val="32"/>
          <w:u w:val="none"/>
        </w:rPr>
        <w:t xml:space="preserve">3</w:t>
      </w:r>
      <w:r/>
    </w:p>
    <w:p>
      <w:pPr>
        <w:pStyle w:val="875"/>
        <w:ind w:firstLine="0"/>
        <w:jc w:val="left"/>
        <w:spacing w:before="120" w:after="120"/>
        <w:tabs>
          <w:tab w:val="right" w:pos="9854" w:leader="dot"/>
        </w:tabs>
        <w:rPr>
          <w:rStyle w:val="907"/>
          <w:rFonts w:ascii="宋体" w:hAnsi="宋体" w:cs="Calibri"/>
          <w:bCs/>
          <w:caps/>
          <w:color w:val="auto"/>
          <w:sz w:val="32"/>
          <w:szCs w:val="32"/>
        </w:rPr>
        <w:outlineLvl w:val="9"/>
      </w:pPr>
      <w:r/>
      <w:hyperlink w:tooltip="#_Toc105397795" w:anchor="_Toc105397795" w:history="1">
        <w:r>
          <w:rPr>
            <w:rStyle w:val="907"/>
            <w:rFonts w:ascii="宋体" w:hAnsi="宋体" w:cs="Calibri"/>
            <w:bCs/>
            <w:caps/>
            <w:color w:val="auto"/>
            <w:sz w:val="32"/>
            <w:szCs w:val="32"/>
          </w:rPr>
          <w:t xml:space="preserve">第六章 评标办法和评分标准</w:t>
        </w:r>
        <w:r>
          <w:rPr>
            <w:rStyle w:val="907"/>
            <w:rFonts w:ascii="宋体" w:hAnsi="宋体" w:cs="Calibri"/>
            <w:bCs/>
            <w:caps/>
            <w:color w:val="auto"/>
            <w:sz w:val="32"/>
            <w:szCs w:val="32"/>
          </w:rPr>
          <w:tab/>
        </w:r>
        <w:r>
          <w:rPr>
            <w:rStyle w:val="907"/>
            <w:rFonts w:ascii="宋体" w:hAnsi="宋体" w:cs="Calibri"/>
            <w:bCs/>
            <w:caps/>
            <w:color w:val="auto"/>
            <w:sz w:val="32"/>
            <w:szCs w:val="32"/>
          </w:rPr>
          <w:fldChar w:fldCharType="begin"/>
        </w:r>
        <w:r>
          <w:rPr>
            <w:rStyle w:val="907"/>
            <w:rFonts w:ascii="宋体" w:hAnsi="宋体" w:cs="Calibri"/>
            <w:bCs/>
            <w:caps/>
            <w:color w:val="auto"/>
            <w:sz w:val="32"/>
            <w:szCs w:val="32"/>
          </w:rPr>
          <w:instrText xml:space="preserve"> PAGEREF _Toc105397795 \h </w:instrText>
        </w:r>
        <w:r>
          <w:rPr>
            <w:rStyle w:val="907"/>
            <w:rFonts w:ascii="宋体" w:hAnsi="宋体" w:cs="Calibri"/>
            <w:bCs/>
            <w:caps/>
            <w:color w:val="auto"/>
            <w:sz w:val="32"/>
            <w:szCs w:val="32"/>
          </w:rPr>
        </w:r>
        <w:r>
          <w:rPr>
            <w:rStyle w:val="907"/>
            <w:rFonts w:ascii="宋体" w:hAnsi="宋体" w:cs="Calibri"/>
            <w:bCs/>
            <w:caps/>
            <w:color w:val="auto"/>
            <w:sz w:val="32"/>
            <w:szCs w:val="32"/>
          </w:rPr>
          <w:fldChar w:fldCharType="separate"/>
        </w:r>
        <w:r>
          <w:rPr>
            <w:rStyle w:val="907"/>
            <w:rFonts w:ascii="宋体" w:hAnsi="宋体" w:cs="Calibri"/>
            <w:bCs/>
            <w:caps/>
            <w:color w:val="auto"/>
            <w:sz w:val="32"/>
            <w:szCs w:val="32"/>
          </w:rPr>
          <w:t xml:space="preserve">47</w:t>
        </w:r>
        <w:r>
          <w:rPr>
            <w:rStyle w:val="907"/>
            <w:rFonts w:ascii="宋体" w:hAnsi="宋体" w:cs="Calibri"/>
            <w:bCs/>
            <w:caps/>
            <w:color w:val="auto"/>
            <w:sz w:val="32"/>
            <w:szCs w:val="32"/>
          </w:rPr>
          <w:fldChar w:fldCharType="end"/>
        </w:r>
      </w:hyperlink>
      <w:r/>
      <w:r/>
    </w:p>
    <w:p>
      <w:pPr>
        <w:pStyle w:val="875"/>
        <w:ind w:firstLine="0"/>
        <w:jc w:val="left"/>
        <w:spacing w:before="120" w:after="120"/>
        <w:tabs>
          <w:tab w:val="right" w:pos="9856" w:leader="dot"/>
        </w:tabs>
        <w:rPr>
          <w:rFonts w:ascii="宋体" w:hAnsi="宋体"/>
          <w:sz w:val="32"/>
          <w:szCs w:val="32"/>
        </w:rPr>
        <w:outlineLvl w:val="9"/>
      </w:pPr>
      <w:r>
        <w:rPr>
          <w:rStyle w:val="907"/>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JSZC-320500-JZCG-G2025-0605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苏州市智能制造融合发展中心运营项目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联系人：江工 </w:t>
            </w:r>
            <w:r/>
          </w:p>
          <w:p>
            <w:pPr>
              <w:ind w:left="0"/>
              <w:jc w:val="left"/>
              <w:spacing w:line="440" w:lineRule="exact"/>
              <w:rPr>
                <w:rFonts w:ascii="宋体" w:hAnsi="宋体"/>
                <w:sz w:val="21"/>
                <w:szCs w:val="21"/>
              </w:rPr>
            </w:pPr>
            <w:r>
              <w:rPr>
                <w:rFonts w:hint="eastAsia" w:ascii="宋体" w:hAnsi="宋体"/>
                <w:sz w:val="21"/>
                <w:szCs w:val="21"/>
              </w:rPr>
              <w:t xml:space="preserve">联系电话：0512-69820710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名称：苏州市企业服务中心</w:t>
            </w:r>
            <w:r/>
          </w:p>
          <w:p>
            <w:pPr>
              <w:ind w:left="0"/>
              <w:jc w:val="left"/>
              <w:spacing w:line="440" w:lineRule="exact"/>
              <w:rPr>
                <w:rFonts w:ascii="宋体" w:hAnsi="宋体"/>
                <w:sz w:val="21"/>
                <w:szCs w:val="21"/>
              </w:rPr>
            </w:pPr>
            <w:r>
              <w:rPr>
                <w:rFonts w:hint="eastAsia" w:ascii="宋体" w:hAnsi="宋体"/>
                <w:sz w:val="21"/>
                <w:szCs w:val="21"/>
              </w:rPr>
              <w:t xml:space="preserve">地址：江苏省苏州市高新区泰山路601号</w:t>
            </w:r>
            <w:r/>
          </w:p>
          <w:p>
            <w:pPr>
              <w:ind w:left="0"/>
              <w:jc w:val="left"/>
              <w:spacing w:line="440" w:lineRule="exact"/>
              <w:rPr>
                <w:rFonts w:ascii="宋体" w:hAnsi="宋体"/>
                <w:sz w:val="21"/>
                <w:szCs w:val="21"/>
              </w:rPr>
            </w:pPr>
            <w:r>
              <w:rPr>
                <w:rFonts w:hint="eastAsia" w:ascii="宋体" w:hAnsi="宋体"/>
                <w:sz w:val="21"/>
                <w:szCs w:val="21"/>
              </w:rPr>
              <w:t xml:space="preserve">联系人：王芳</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w:t>
            </w:r>
            <w:r>
              <w:rPr>
                <w:rFonts w:ascii="宋体" w:hAnsi="宋体"/>
                <w:sz w:val="21"/>
                <w:szCs w:val="21"/>
              </w:rPr>
              <w:t xml:space="preserve">-</w:t>
            </w:r>
            <w:r>
              <w:rPr>
                <w:rFonts w:ascii="宋体" w:hAnsi="宋体"/>
                <w:sz w:val="21"/>
                <w:szCs w:val="21"/>
              </w:rPr>
              <w:t xml:space="preserve">65117581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12</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18日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u w:val="single"/>
              </w:rPr>
              <w:t xml:space="preserve">12</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18日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w:t>
            </w:r>
            <w:r>
              <w:rPr>
                <w:rFonts w:hint="eastAsia" w:ascii="宋体" w:hAnsi="宋体" w:cs="Times New Roman"/>
                <w:sz w:val="21"/>
                <w:szCs w:val="21"/>
              </w:rPr>
              <w:t xml:space="preserve">：</w:t>
            </w:r>
            <w:r>
              <w:rPr>
                <w:rFonts w:ascii="宋体" w:hAnsi="宋体" w:cs="Times New Roman"/>
                <w:sz w:val="21"/>
                <w:szCs w:val="21"/>
              </w:rPr>
              <w:t xml:space="preserve">//jszfcg.jsczt.cn/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u w:val="single"/>
              </w:rPr>
              <w:t xml:space="preserve">12</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18日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6"/>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76"/>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868"/>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8"/>
        <w:rPr>
          <w:rFonts w:ascii="宋体" w:hAnsi="宋体"/>
        </w:rPr>
      </w:pPr>
      <w:r>
        <w:rPr>
          <w:rFonts w:ascii="宋体" w:hAnsi="宋体"/>
        </w:rPr>
      </w:r>
      <w:r/>
    </w:p>
    <w:p>
      <w:pPr>
        <w:pStyle w:val="860"/>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2"/>
        <w:ind w:left="431" w:firstLine="17"/>
        <w:jc w:val="center"/>
        <w:spacing w:before="0" w:after="0" w:line="360" w:lineRule="auto"/>
        <w:rPr>
          <w:rStyle w:val="972"/>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苏州市智能制造融合发展中心运营项目</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 12 </w:t>
      </w:r>
      <w:r>
        <w:rPr>
          <w:rFonts w:hint="eastAsia" w:ascii="宋体" w:hAnsi="宋体"/>
          <w:b/>
          <w:sz w:val="21"/>
          <w:szCs w:val="21"/>
          <w:u w:val="single"/>
        </w:rPr>
        <w:t xml:space="preserve">月</w:t>
      </w:r>
      <w:r>
        <w:rPr>
          <w:rFonts w:ascii="宋体" w:hAnsi="宋体"/>
          <w:b/>
          <w:sz w:val="21"/>
          <w:szCs w:val="21"/>
          <w:u w:val="single"/>
        </w:rPr>
        <w:t xml:space="preserve"> 18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60"/>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0"/>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JSZC-320500-JZCG-G2025-0605</w:t>
      </w:r>
      <w:r/>
    </w:p>
    <w:p>
      <w:pPr>
        <w:pStyle w:val="860"/>
        <w:ind w:left="0" w:firstLine="420"/>
        <w:spacing w:line="360" w:lineRule="auto"/>
        <w:rPr>
          <w:rFonts w:ascii="宋体" w:hAnsi="宋体"/>
          <w:sz w:val="21"/>
          <w:szCs w:val="21"/>
        </w:rPr>
      </w:pPr>
      <w:r>
        <w:rPr>
          <w:rFonts w:hint="eastAsia" w:ascii="宋体" w:hAnsi="宋体"/>
          <w:sz w:val="21"/>
          <w:szCs w:val="21"/>
        </w:rPr>
        <w:t xml:space="preserve">2.项目名称：苏州市智能制造融合发展中心运营项目</w:t>
      </w:r>
      <w:r>
        <w:rPr>
          <w:rFonts w:ascii="宋体" w:hAnsi="宋体"/>
          <w:sz w:val="21"/>
          <w:szCs w:val="21"/>
        </w:rPr>
        <w:t xml:space="preserve"> </w:t>
      </w:r>
      <w:r/>
    </w:p>
    <w:p>
      <w:pPr>
        <w:pStyle w:val="860"/>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0"/>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人民币壹佰伍拾伍万元整（¥</w:t>
      </w:r>
      <w:r>
        <w:rPr>
          <w:rFonts w:ascii="宋体" w:hAnsi="宋体"/>
          <w:sz w:val="21"/>
        </w:rPr>
        <w:t xml:space="preserve">1550000.00</w:t>
      </w:r>
      <w:r>
        <w:rPr>
          <w:rFonts w:hint="eastAsia" w:ascii="宋体" w:hAnsi="宋体"/>
          <w:sz w:val="21"/>
        </w:rPr>
        <w:t xml:space="preserve">）</w:t>
      </w:r>
      <w:r>
        <w:rPr>
          <w:rFonts w:ascii="宋体" w:hAnsi="宋体"/>
          <w:sz w:val="21"/>
          <w:szCs w:val="21"/>
        </w:rPr>
        <w:t xml:space="preserve"> </w:t>
      </w:r>
      <w:r/>
    </w:p>
    <w:p>
      <w:pPr>
        <w:pStyle w:val="860"/>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人民币壹佰伍拾伍万元整（¥</w:t>
      </w:r>
      <w:r>
        <w:rPr>
          <w:rFonts w:ascii="宋体" w:hAnsi="宋体"/>
          <w:sz w:val="21"/>
        </w:rPr>
        <w:t xml:space="preserve">1550000.00</w:t>
      </w:r>
      <w:r>
        <w:rPr>
          <w:rFonts w:hint="eastAsia" w:ascii="宋体" w:hAnsi="宋体"/>
          <w:sz w:val="21"/>
        </w:rPr>
        <w:t xml:space="preserve">）</w:t>
      </w:r>
      <w:r>
        <w:rPr>
          <w:rFonts w:ascii="宋体" w:hAnsi="宋体"/>
          <w:sz w:val="21"/>
          <w:szCs w:val="21"/>
        </w:rPr>
        <w:t xml:space="preserve">  </w:t>
      </w:r>
      <w:r/>
    </w:p>
    <w:p>
      <w:pPr>
        <w:pStyle w:val="860"/>
        <w:ind w:left="0" w:firstLine="420"/>
        <w:spacing w:line="360" w:lineRule="auto"/>
        <w:rPr>
          <w:rFonts w:ascii="宋体" w:hAnsi="宋体"/>
          <w:sz w:val="21"/>
          <w:szCs w:val="21"/>
        </w:rPr>
      </w:pPr>
      <w:r>
        <w:rPr>
          <w:rFonts w:hint="eastAsia" w:ascii="宋体" w:hAnsi="宋体"/>
          <w:sz w:val="21"/>
          <w:szCs w:val="21"/>
        </w:rPr>
        <w:t xml:space="preserve">6.合同履行期限：2026年1月1日至2026年12月31日</w:t>
      </w:r>
      <w:r>
        <w:rPr>
          <w:rFonts w:ascii="宋体" w:hAnsi="宋体"/>
          <w:sz w:val="21"/>
          <w:szCs w:val="21"/>
        </w:rPr>
        <w:t xml:space="preserve"> </w:t>
      </w:r>
      <w:r/>
    </w:p>
    <w:p>
      <w:pPr>
        <w:pStyle w:val="860"/>
        <w:ind w:left="0" w:firstLine="420"/>
        <w:spacing w:line="360" w:lineRule="auto"/>
        <w:rPr>
          <w:rFonts w:ascii="宋体" w:hAnsi="宋体"/>
          <w:sz w:val="21"/>
          <w:szCs w:val="21"/>
        </w:rPr>
      </w:pPr>
      <w:r>
        <w:rPr>
          <w:rFonts w:hint="eastAsia" w:ascii="宋体" w:hAnsi="宋体"/>
          <w:sz w:val="21"/>
          <w:szCs w:val="21"/>
        </w:rPr>
        <w:t xml:space="preserve">7.采购需求：详见采购文件第四章</w:t>
      </w:r>
      <w:r/>
    </w:p>
    <w:p>
      <w:pPr>
        <w:pStyle w:val="860"/>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0"/>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0"/>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0"/>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0"/>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0"/>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0"/>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0"/>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0"/>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60"/>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0"/>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0"/>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0"/>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0"/>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0"/>
        <w:ind w:left="0" w:firstLine="420"/>
        <w:spacing w:line="360" w:lineRule="auto"/>
        <w:rPr>
          <w:rFonts w:ascii="宋体" w:hAnsi="宋体"/>
          <w:sz w:val="21"/>
          <w:szCs w:val="21"/>
        </w:rPr>
      </w:pPr>
      <w:r>
        <w:rPr>
          <w:rFonts w:hint="eastAsia" w:ascii="宋体" w:hAnsi="宋体"/>
          <w:sz w:val="21"/>
          <w:szCs w:val="21"/>
        </w:rPr>
        <w:t xml:space="preserve">3.方式：</w:t>
      </w:r>
      <w:r/>
    </w:p>
    <w:p>
      <w:pPr>
        <w:pStyle w:val="860"/>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0"/>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w:t>
      </w:r>
      <w:r>
        <w:rPr>
          <w:rFonts w:hint="eastAsia" w:ascii="宋体" w:hAnsi="宋体"/>
          <w:sz w:val="21"/>
          <w:szCs w:val="21"/>
        </w:rPr>
        <w:t xml:space="preserve">“苏采云”系统目前仅支持“苏采云”系统下的政务CA证书，江苏省内各地区办理的“苏采云”系统下的政务CA证书全省通用。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rPr>
          <w:rFonts w:hint="eastAsia" w:ascii="宋体" w:hAnsi="宋体"/>
          <w:b/>
          <w:bCs/>
          <w:sz w:val="21"/>
          <w:szCs w:val="21"/>
        </w:rPr>
        <w:t xml:space="preserve">(自2025年12月1日起，现场办理地址调整为:苏州高新区邓尉路105号狮山科技馆1楼服务大厅)</w:t>
      </w:r>
      <w:r/>
    </w:p>
    <w:p>
      <w:pPr>
        <w:pStyle w:val="860"/>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0"/>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0"/>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0"/>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0"/>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0"/>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0"/>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0"/>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0"/>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6" w:name="OLE_LINK39"/>
      <w:r/>
      <w:bookmarkStart w:id="7" w:name="OLE_LINK40"/>
      <w:r>
        <w:rPr>
          <w:rFonts w:ascii="宋体" w:hAnsi="宋体"/>
          <w:sz w:val="21"/>
          <w:szCs w:val="21"/>
        </w:rPr>
        <w:t xml:space="preserve">13914088964</w:t>
      </w:r>
      <w:bookmarkEnd w:id="6"/>
      <w:r/>
      <w:bookmarkEnd w:id="7"/>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60"/>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0"/>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0"/>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 12 月 18 日 09 点 30 分</w:t>
      </w:r>
      <w:r>
        <w:rPr>
          <w:rFonts w:hint="eastAsia" w:ascii="宋体" w:hAnsi="宋体"/>
          <w:sz w:val="21"/>
          <w:szCs w:val="21"/>
        </w:rPr>
        <w:t xml:space="preserve">（北京时间）；</w:t>
      </w:r>
      <w:r>
        <w:rPr>
          <w:rFonts w:ascii="宋体" w:hAnsi="宋体"/>
          <w:sz w:val="21"/>
          <w:szCs w:val="21"/>
        </w:rPr>
        <w:t xml:space="preserve"> </w:t>
      </w:r>
      <w:r/>
    </w:p>
    <w:p>
      <w:pPr>
        <w:pStyle w:val="860"/>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hint="eastAsia" w:ascii="宋体" w:hAnsi="宋体"/>
          <w:sz w:val="21"/>
          <w:szCs w:val="21"/>
          <w:u w:val="single"/>
        </w:rPr>
        <w:t xml:space="preserve"> 12 月 18 日 09 点 30 分</w:t>
      </w:r>
      <w:r/>
      <w:r>
        <w:rPr>
          <w:rFonts w:hint="eastAsia" w:ascii="宋体" w:hAnsi="宋体"/>
          <w:sz w:val="21"/>
          <w:szCs w:val="21"/>
          <w:u w:val="single"/>
        </w:rPr>
      </w:r>
      <w:r>
        <w:rPr>
          <w:rFonts w:hint="eastAsia" w:ascii="宋体" w:hAnsi="宋体"/>
          <w:sz w:val="21"/>
          <w:szCs w:val="21"/>
        </w:rPr>
        <w:t xml:space="preserve">（北京时间）；</w:t>
      </w:r>
      <w:r/>
    </w:p>
    <w:p>
      <w:pPr>
        <w:pStyle w:val="860"/>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w:t>
      </w:r>
      <w:r>
        <w:rPr>
          <w:rFonts w:hint="eastAsia" w:ascii="宋体" w:hAnsi="宋体"/>
          <w:sz w:val="21"/>
          <w:szCs w:val="21"/>
        </w:rPr>
        <w:t xml:space="preserve">：</w:t>
      </w:r>
      <w:r>
        <w:rPr>
          <w:rFonts w:ascii="宋体" w:hAnsi="宋体"/>
          <w:sz w:val="21"/>
          <w:szCs w:val="21"/>
        </w:rPr>
        <w:t xml:space="preserve">//jszfcg.jsczt.cn/</w:t>
      </w:r>
      <w:r>
        <w:rPr>
          <w:rFonts w:hint="eastAsia" w:ascii="宋体" w:hAnsi="宋体"/>
          <w:sz w:val="21"/>
          <w:szCs w:val="21"/>
        </w:rPr>
        <w:t xml:space="preserve">）</w:t>
      </w:r>
      <w:r/>
    </w:p>
    <w:p>
      <w:pPr>
        <w:pStyle w:val="860"/>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0"/>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0"/>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0"/>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0"/>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0"/>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1"/>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01"/>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01"/>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01"/>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60"/>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0"/>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0"/>
        <w:ind w:left="0" w:firstLine="420"/>
        <w:spacing w:line="360" w:lineRule="auto"/>
        <w:rPr>
          <w:rFonts w:ascii="宋体" w:hAnsi="宋体"/>
          <w:sz w:val="21"/>
          <w:szCs w:val="21"/>
        </w:rPr>
      </w:pPr>
      <w:r>
        <w:rPr>
          <w:rFonts w:hint="eastAsia" w:ascii="宋体" w:hAnsi="宋体"/>
          <w:sz w:val="21"/>
          <w:szCs w:val="21"/>
        </w:rPr>
        <w:t xml:space="preserve">名称：苏州市企业服务中心  </w:t>
      </w:r>
      <w:r>
        <w:rPr>
          <w:rFonts w:ascii="宋体" w:hAnsi="宋体"/>
          <w:sz w:val="21"/>
          <w:szCs w:val="21"/>
        </w:rPr>
        <w:t xml:space="preserve">                                      </w:t>
      </w:r>
      <w:r/>
    </w:p>
    <w:p>
      <w:pPr>
        <w:pStyle w:val="860"/>
        <w:ind w:left="0" w:firstLine="420"/>
        <w:spacing w:line="360" w:lineRule="auto"/>
        <w:rPr>
          <w:rFonts w:ascii="宋体" w:hAnsi="宋体"/>
          <w:sz w:val="21"/>
          <w:szCs w:val="21"/>
        </w:rPr>
      </w:pPr>
      <w:r>
        <w:rPr>
          <w:rFonts w:hint="eastAsia" w:ascii="宋体" w:hAnsi="宋体"/>
          <w:sz w:val="21"/>
          <w:szCs w:val="21"/>
        </w:rPr>
        <w:t xml:space="preserve">地址：江苏省苏州市高新区泰山路601号 </w:t>
      </w:r>
      <w:r/>
    </w:p>
    <w:p>
      <w:pPr>
        <w:pStyle w:val="860"/>
        <w:ind w:left="0" w:firstLine="420"/>
        <w:spacing w:line="360" w:lineRule="auto"/>
        <w:rPr>
          <w:rFonts w:ascii="宋体" w:hAnsi="宋体"/>
          <w:sz w:val="21"/>
          <w:szCs w:val="21"/>
        </w:rPr>
      </w:pPr>
      <w:r>
        <w:rPr>
          <w:rFonts w:hint="eastAsia" w:ascii="宋体" w:hAnsi="宋体"/>
          <w:sz w:val="21"/>
          <w:szCs w:val="21"/>
        </w:rPr>
        <w:t xml:space="preserve">联系人：王芳</w:t>
      </w:r>
      <w:r/>
    </w:p>
    <w:p>
      <w:pPr>
        <w:pStyle w:val="860"/>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w:t>
      </w:r>
      <w:r>
        <w:rPr>
          <w:rFonts w:ascii="宋体" w:hAnsi="宋体"/>
          <w:sz w:val="21"/>
          <w:szCs w:val="21"/>
        </w:rPr>
        <w:t xml:space="preserve">-</w:t>
      </w:r>
      <w:r>
        <w:rPr>
          <w:rFonts w:ascii="宋体" w:hAnsi="宋体"/>
          <w:sz w:val="21"/>
          <w:szCs w:val="21"/>
        </w:rPr>
        <w:t xml:space="preserve">65117581</w:t>
      </w:r>
      <w:r>
        <w:rPr>
          <w:rFonts w:hint="eastAsia" w:ascii="宋体" w:hAnsi="宋体"/>
          <w:sz w:val="21"/>
          <w:szCs w:val="21"/>
        </w:rPr>
        <w:t xml:space="preserve"> </w:t>
      </w:r>
      <w:r/>
    </w:p>
    <w:p>
      <w:pPr>
        <w:pStyle w:val="860"/>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0"/>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0"/>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860"/>
        <w:ind w:left="0" w:firstLine="420"/>
        <w:spacing w:line="360" w:lineRule="auto"/>
        <w:rPr>
          <w:rFonts w:ascii="宋体" w:hAnsi="宋体"/>
          <w:sz w:val="21"/>
          <w:szCs w:val="21"/>
        </w:rPr>
      </w:pPr>
      <w:r>
        <w:rPr>
          <w:rFonts w:hint="eastAsia" w:ascii="宋体" w:hAnsi="宋体"/>
          <w:sz w:val="21"/>
          <w:szCs w:val="21"/>
        </w:rPr>
        <w:t xml:space="preserve">联系方式：0512-69820710</w:t>
      </w:r>
      <w:r/>
    </w:p>
    <w:p>
      <w:pPr>
        <w:pStyle w:val="860"/>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0"/>
        <w:ind w:left="0" w:firstLine="420"/>
        <w:spacing w:line="360" w:lineRule="auto"/>
        <w:rPr>
          <w:rFonts w:ascii="宋体" w:hAnsi="宋体"/>
          <w:sz w:val="21"/>
          <w:szCs w:val="21"/>
        </w:rPr>
      </w:pPr>
      <w:r>
        <w:rPr>
          <w:rFonts w:hint="eastAsia" w:ascii="宋体" w:hAnsi="宋体"/>
          <w:sz w:val="21"/>
          <w:szCs w:val="21"/>
        </w:rPr>
        <w:t xml:space="preserve">项目联系人：江工  </w:t>
      </w:r>
      <w:r/>
    </w:p>
    <w:p>
      <w:pPr>
        <w:pStyle w:val="860"/>
        <w:ind w:left="0" w:firstLine="420"/>
        <w:spacing w:line="360" w:lineRule="auto"/>
        <w:rPr>
          <w:rFonts w:ascii="宋体" w:hAnsi="宋体"/>
          <w:sz w:val="21"/>
          <w:szCs w:val="21"/>
        </w:rPr>
      </w:pPr>
      <w:r>
        <w:rPr>
          <w:rFonts w:hint="eastAsia" w:ascii="宋体" w:hAnsi="宋体"/>
          <w:sz w:val="21"/>
          <w:szCs w:val="21"/>
        </w:rPr>
        <w:t xml:space="preserve">电话：0512-69820710</w:t>
      </w:r>
      <w:r/>
    </w:p>
    <w:p>
      <w:pPr>
        <w:ind w:left="0"/>
        <w:spacing w:line="460" w:lineRule="exact"/>
        <w:rPr>
          <w:rFonts w:ascii="宋体" w:hAnsi="宋体"/>
          <w:sz w:val="21"/>
          <w:szCs w:val="21"/>
        </w:rPr>
      </w:pPr>
      <w:r>
        <w:rPr>
          <w:rFonts w:ascii="宋体" w:hAnsi="宋体"/>
          <w:sz w:val="21"/>
          <w:szCs w:val="21"/>
        </w:rPr>
      </w:r>
      <w:r/>
    </w:p>
    <w:p>
      <w:pPr>
        <w:pStyle w:val="854"/>
      </w:pPr>
      <w:r/>
      <w:r/>
    </w:p>
    <w:p>
      <w:r/>
      <w:r/>
    </w:p>
    <w:p>
      <w:pPr>
        <w:pStyle w:val="854"/>
      </w:pPr>
      <w:r/>
      <w:r/>
    </w:p>
    <w:p>
      <w:r/>
      <w:r/>
    </w:p>
    <w:p>
      <w:pPr>
        <w:pStyle w:val="854"/>
      </w:pPr>
      <w:r/>
      <w:r/>
    </w:p>
    <w:p>
      <w:r/>
      <w:r/>
    </w:p>
    <w:p>
      <w:pPr>
        <w:ind w:left="0"/>
      </w:pPr>
      <w:r/>
      <w:r/>
    </w:p>
    <w:p>
      <w:pPr>
        <w:pStyle w:val="842"/>
        <w:ind w:left="0" w:firstLine="0"/>
        <w:jc w:val="center"/>
        <w:rPr>
          <w:rFonts w:ascii="宋体" w:hAnsi="宋体"/>
          <w:b/>
          <w:sz w:val="44"/>
          <w:szCs w:val="22"/>
        </w:rPr>
      </w:pPr>
      <w:r/>
      <w:bookmarkStart w:id="8" w:name="_Toc105397777"/>
      <w:r/>
      <w:bookmarkStart w:id="9" w:name="_Toc6217"/>
      <w:r/>
      <w:bookmarkStart w:id="10"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860"/>
        <w:ind w:left="0" w:firstLine="422"/>
        <w:spacing w:line="360" w:lineRule="auto"/>
        <w:rPr>
          <w:rFonts w:ascii="宋体" w:hAnsi="宋体"/>
          <w:b/>
          <w:sz w:val="21"/>
          <w:szCs w:val="21"/>
        </w:rPr>
      </w:pPr>
      <w:r/>
      <w:bookmarkStart w:id="12" w:name="_Toc13437"/>
      <w:r/>
      <w:bookmarkStart w:id="13" w:name="_Toc20132"/>
      <w:r>
        <w:rPr>
          <w:rFonts w:hint="eastAsia" w:ascii="宋体" w:hAnsi="宋体"/>
          <w:b/>
          <w:sz w:val="21"/>
          <w:szCs w:val="21"/>
        </w:rPr>
        <w:t xml:space="preserve">一、说明和释义</w:t>
      </w:r>
      <w:bookmarkEnd w:id="12"/>
      <w:r/>
      <w:bookmarkEnd w:id="13"/>
      <w:r/>
      <w:r/>
    </w:p>
    <w:p>
      <w:pPr>
        <w:pStyle w:val="860"/>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860"/>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0"/>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0"/>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0"/>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860"/>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0"/>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0"/>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4976"/>
      <w:r/>
      <w:bookmarkStart w:id="17" w:name="_Toc13350"/>
      <w:r/>
      <w:r/>
    </w:p>
    <w:p>
      <w:pPr>
        <w:pStyle w:val="860"/>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860"/>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899"/>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99"/>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99"/>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0"/>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0"/>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0"/>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0"/>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31958"/>
      <w:r/>
      <w:bookmarkStart w:id="19" w:name="_Toc5764"/>
      <w:r/>
      <w:r/>
    </w:p>
    <w:p>
      <w:pPr>
        <w:pStyle w:val="860"/>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0"/>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860"/>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0"/>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0"/>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0"/>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0"/>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0"/>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0"/>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0"/>
        <w:ind w:left="0" w:firstLine="420"/>
        <w:spacing w:line="360" w:lineRule="auto"/>
        <w:rPr>
          <w:rFonts w:ascii="宋体" w:hAnsi="宋体"/>
          <w:sz w:val="21"/>
          <w:szCs w:val="21"/>
        </w:rPr>
      </w:pPr>
      <w:r/>
      <w:bookmarkStart w:id="20" w:name="_Toc19463"/>
      <w:r/>
      <w:bookmarkStart w:id="21"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0"/>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0"/>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0"/>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0"/>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0"/>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0"/>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0"/>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0"/>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0"/>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0"/>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//czju.suzhou.gov.cn/zfcg/html/content/20180305093615738.shtml</w:t>
      </w:r>
      <w:r>
        <w:rPr>
          <w:rFonts w:hint="eastAsia" w:ascii="宋体" w:hAnsi="宋体"/>
          <w:sz w:val="21"/>
          <w:szCs w:val="21"/>
        </w:rPr>
        <w:t xml:space="preserve">。</w:t>
      </w:r>
      <w:r/>
    </w:p>
    <w:p>
      <w:pPr>
        <w:pStyle w:val="860"/>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60"/>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0"/>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60"/>
        <w:ind w:left="0" w:firstLine="422"/>
        <w:spacing w:line="360" w:lineRule="auto"/>
        <w:rPr>
          <w:rFonts w:ascii="宋体" w:hAnsi="宋体"/>
          <w:b/>
          <w:sz w:val="21"/>
          <w:szCs w:val="21"/>
        </w:rPr>
      </w:pPr>
      <w:r/>
      <w:bookmarkStart w:id="22" w:name="OLE_LINK32"/>
      <w:r/>
      <w:bookmarkStart w:id="23" w:name="OLE_LINK22"/>
      <w:r/>
      <w:bookmarkStart w:id="24" w:name="OLE_LINK33"/>
      <w:r/>
      <w:bookmarkStart w:id="25" w:name="OLE_LINK35"/>
      <w:r>
        <w:rPr>
          <w:rFonts w:hint="eastAsia" w:ascii="宋体" w:hAnsi="宋体"/>
          <w:b/>
          <w:sz w:val="21"/>
          <w:szCs w:val="21"/>
        </w:rPr>
        <w:t xml:space="preserve">因业务办公地点搬迁，请供应商按照以下联系电话及地址送达或邮寄质疑函。</w:t>
      </w:r>
      <w:r/>
    </w:p>
    <w:p>
      <w:pPr>
        <w:pStyle w:val="860"/>
        <w:ind w:left="0" w:firstLine="422"/>
        <w:spacing w:line="360" w:lineRule="auto"/>
        <w:rPr>
          <w:rFonts w:ascii="宋体" w:hAnsi="宋体"/>
          <w:b/>
          <w:sz w:val="21"/>
          <w:szCs w:val="21"/>
        </w:rPr>
      </w:pPr>
      <w:r>
        <w:rPr>
          <w:rFonts w:hint="eastAsia" w:ascii="宋体" w:hAnsi="宋体"/>
          <w:b/>
          <w:sz w:val="21"/>
          <w:szCs w:val="21"/>
        </w:rPr>
        <w:t xml:space="preserve">（1）2025年11月27日之前</w:t>
      </w:r>
      <w:r/>
    </w:p>
    <w:p>
      <w:pPr>
        <w:pStyle w:val="860"/>
        <w:ind w:left="0" w:firstLine="422"/>
        <w:spacing w:line="360" w:lineRule="auto"/>
        <w:rPr>
          <w:rFonts w:ascii="宋体" w:hAnsi="宋体"/>
          <w:b/>
          <w:sz w:val="21"/>
          <w:szCs w:val="21"/>
        </w:rPr>
      </w:pPr>
      <w:r>
        <w:rPr>
          <w:rFonts w:hint="eastAsia" w:ascii="宋体" w:hAnsi="宋体"/>
          <w:b/>
          <w:sz w:val="21"/>
          <w:szCs w:val="21"/>
        </w:rPr>
        <w:t xml:space="preserve">联系申话：0512-69820894</w:t>
      </w:r>
      <w:r/>
    </w:p>
    <w:p>
      <w:pPr>
        <w:pStyle w:val="860"/>
        <w:ind w:left="0" w:firstLine="422"/>
        <w:spacing w:line="360" w:lineRule="auto"/>
        <w:rPr>
          <w:rFonts w:ascii="宋体" w:hAnsi="宋体"/>
          <w:b/>
          <w:sz w:val="21"/>
          <w:szCs w:val="21"/>
        </w:rPr>
      </w:pPr>
      <w:r>
        <w:rPr>
          <w:rFonts w:hint="eastAsia" w:ascii="宋体" w:hAnsi="宋体"/>
          <w:b/>
          <w:sz w:val="21"/>
          <w:szCs w:val="21"/>
        </w:rPr>
        <w:t xml:space="preserve">联系地址：苏州市姑苏区平泷路251号城市生活广场西侧裙楼四楼4006室。</w:t>
      </w:r>
      <w:r/>
    </w:p>
    <w:p>
      <w:pPr>
        <w:pStyle w:val="860"/>
        <w:ind w:left="0" w:firstLine="422"/>
        <w:spacing w:line="360" w:lineRule="auto"/>
        <w:rPr>
          <w:rFonts w:ascii="宋体" w:hAnsi="宋体"/>
          <w:b/>
          <w:sz w:val="21"/>
          <w:szCs w:val="21"/>
        </w:rPr>
      </w:pPr>
      <w:r>
        <w:rPr>
          <w:rFonts w:hint="eastAsia" w:ascii="宋体" w:hAnsi="宋体"/>
          <w:b/>
          <w:sz w:val="21"/>
          <w:szCs w:val="21"/>
        </w:rPr>
        <w:t xml:space="preserve">（2）2025年11月27日（含）之后</w:t>
      </w:r>
      <w:r/>
    </w:p>
    <w:p>
      <w:pPr>
        <w:pStyle w:val="860"/>
        <w:ind w:left="0" w:firstLine="422"/>
        <w:spacing w:line="360" w:lineRule="auto"/>
        <w:rPr>
          <w:rFonts w:ascii="宋体" w:hAnsi="宋体"/>
          <w:b/>
          <w:sz w:val="21"/>
          <w:szCs w:val="21"/>
        </w:rPr>
      </w:pPr>
      <w:r>
        <w:rPr>
          <w:rFonts w:hint="eastAsia" w:ascii="宋体" w:hAnsi="宋体"/>
          <w:b/>
          <w:sz w:val="21"/>
          <w:szCs w:val="21"/>
        </w:rPr>
        <w:t xml:space="preserve">联系电话：0512-69826795</w:t>
      </w:r>
      <w:r/>
    </w:p>
    <w:p>
      <w:pPr>
        <w:pStyle w:val="860"/>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联系地址：苏州高新区邓尉路105号狮山科技馆7楼集采业务办公室。</w:t>
      </w:r>
      <w:bookmarkEnd w:id="22"/>
      <w:bookmarkEnd w:id="23"/>
      <w:bookmarkEnd w:id="24"/>
      <w:bookmarkEnd w:id="25"/>
      <w:r/>
    </w:p>
    <w:p>
      <w:pPr>
        <w:pStyle w:val="860"/>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860"/>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6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0"/>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0"/>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6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6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9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9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9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76"/>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6"/>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6"/>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76"/>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76"/>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76"/>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76"/>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7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7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6" w:name="_Toc31150"/>
      <w:r/>
      <w:bookmarkStart w:id="27"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6"/>
      <w:bookmarkEnd w:id="27"/>
      <w:r/>
    </w:p>
    <w:p>
      <w:pPr>
        <w:pStyle w:val="1076"/>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76"/>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76"/>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860"/>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//czju.suzhou.gov.cn/zfcg/html/content/20231220161910031.shtml</w:t>
      </w:r>
      <w:r>
        <w:rPr>
          <w:rFonts w:hint="eastAsia" w:ascii="宋体" w:hAnsi="宋体"/>
          <w:b/>
          <w:color w:val="000000" w:themeColor="text1"/>
          <w:sz w:val="21"/>
          <w:szCs w:val="21"/>
        </w:rPr>
        <w:t xml:space="preserve">）</w:t>
      </w:r>
      <w:r/>
    </w:p>
    <w:p>
      <w:pPr>
        <w:pStyle w:val="1076"/>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7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7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7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7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7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28" w:name="_Toc22837"/>
      <w:r/>
      <w:bookmarkStart w:id="29"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76"/>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8"/>
      <w:r/>
      <w:bookmarkEnd w:id="29"/>
      <w:r/>
      <w:r/>
    </w:p>
    <w:p>
      <w:pPr>
        <w:pStyle w:val="107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7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76"/>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76"/>
        <w:ind w:left="0" w:firstLine="422"/>
        <w:spacing w:line="360" w:lineRule="auto"/>
        <w:rPr>
          <w:rFonts w:ascii="宋体" w:hAnsi="宋体" w:cs="宋体"/>
          <w:b/>
          <w:color w:val="000000" w:themeColor="text1"/>
          <w:sz w:val="21"/>
          <w:szCs w:val="21"/>
        </w:rPr>
      </w:pPr>
      <w:r/>
      <w:bookmarkStart w:id="30" w:name="OLE_LINK20"/>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07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1" w:name="OLE_LINK5"/>
      <w:r/>
      <w:bookmarkStart w:id="32" w:name="OLE_LINK6"/>
      <w:r>
        <w:rPr>
          <w:rFonts w:hint="eastAsia" w:ascii="宋体" w:hAnsi="宋体" w:cs="宋体"/>
          <w:b/>
          <w:color w:val="000000" w:themeColor="text1"/>
          <w:sz w:val="21"/>
          <w:szCs w:val="21"/>
          <w:lang w:val="en-US"/>
        </w:rPr>
        <w:t xml:space="preserve">评标</w:t>
      </w:r>
      <w:bookmarkEnd w:id="31"/>
      <w:r/>
      <w:bookmarkEnd w:id="32"/>
      <w:r>
        <w:rPr>
          <w:rFonts w:hint="eastAsia" w:ascii="宋体" w:hAnsi="宋体" w:cs="宋体"/>
          <w:b/>
          <w:color w:val="000000" w:themeColor="text1"/>
          <w:sz w:val="21"/>
          <w:szCs w:val="21"/>
          <w:lang w:val="en-US"/>
        </w:rPr>
        <w:t xml:space="preserve">委员会应当启动异常低价投标审查程序：</w:t>
      </w:r>
      <w:r/>
    </w:p>
    <w:p>
      <w:pPr>
        <w:pStyle w:val="107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（一）投标报价低于采购项目预算50%的，即投标报价&lt;采购项目预算×50%；</w:t>
      </w:r>
      <w:r/>
    </w:p>
    <w:p>
      <w:pPr>
        <w:pStyle w:val="107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（二）投标报价低于采购项目最高限价45%的，即投标报价&lt;采购项目最高限价×45%；</w:t>
      </w:r>
      <w:r/>
    </w:p>
    <w:p>
      <w:pPr>
        <w:pStyle w:val="107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（三）评标委员会认定的供应商报价过低、有可能影响产品质量或者不能诚信履约的其他情形。</w:t>
      </w:r>
      <w:r/>
    </w:p>
    <w:p>
      <w:pPr>
        <w:pStyle w:val="1076"/>
        <w:ind w:left="0" w:firstLine="422"/>
        <w:spacing w:line="360" w:lineRule="auto"/>
        <w:rPr>
          <w:rFonts w:ascii="宋体" w:hAnsi="宋体" w:cs="宋体"/>
          <w:b/>
          <w:color w:val="000000" w:themeColor="text1"/>
          <w:sz w:val="21"/>
          <w:szCs w:val="21"/>
          <w:lang w:val="en-US"/>
        </w:rPr>
      </w:pPr>
      <w:r/>
      <w:bookmarkStart w:id="33" w:name="OLE_LINK4"/>
      <w:r/>
      <w:bookmarkStart w:id="34" w:name="OLE_LINK3"/>
      <w:r>
        <w:rPr>
          <w:rFonts w:ascii="宋体" w:hAnsi="宋体" w:cs="宋体"/>
          <w:b/>
          <w:color w:val="000000" w:themeColor="text1"/>
          <w:sz w:val="21"/>
          <w:szCs w:val="21"/>
          <w:lang w:val="en-US"/>
        </w:rPr>
        <w:t xml:space="preserve">26.4.2</w:t>
      </w:r>
      <w:r>
        <w:rPr>
          <w:rFonts w:hint="eastAsia" w:ascii="宋体" w:hAnsi="宋体"/>
          <w:b/>
          <w:color w:val="000000" w:themeColor="text1"/>
          <w:sz w:val="21"/>
          <w:szCs w:val="21"/>
        </w:rPr>
        <w:t xml:space="preserve">启动异常低价投标审查后，</w:t>
      </w:r>
      <w:bookmarkStart w:id="35" w:name="OLE_LINK1"/>
      <w:r/>
      <w:bookmarkStart w:id="36" w:name="OLE_LINK2"/>
      <w:r>
        <w:rPr>
          <w:rFonts w:hint="eastAsia" w:ascii="宋体" w:hAnsi="宋体" w:cs="宋体"/>
          <w:b/>
          <w:color w:val="000000" w:themeColor="text1"/>
          <w:sz w:val="21"/>
          <w:szCs w:val="21"/>
          <w:lang w:val="en-US"/>
        </w:rPr>
        <w:t xml:space="preserve">评标委员会</w:t>
      </w:r>
      <w:bookmarkEnd w:id="35"/>
      <w:r/>
      <w:bookmarkEnd w:id="36"/>
      <w:r>
        <w:rPr>
          <w:rFonts w:hint="eastAsia" w:ascii="宋体" w:hAnsi="宋体"/>
          <w:b/>
          <w:color w:val="000000" w:themeColor="text1"/>
          <w:sz w:val="21"/>
          <w:szCs w:val="21"/>
        </w:rPr>
        <w:t xml:space="preserve">应当要求相关供应商在评标现场合理的时间内，提供项目具体成本测算等与报价合理性相关的书面说明及相关证明材料</w:t>
      </w:r>
      <w:bookmarkStart w:id="37" w:name="OLE_LINK10"/>
      <w:r/>
      <w:bookmarkStart w:id="38" w:name="OLE_LINK9"/>
      <w:r>
        <w:rPr>
          <w:rFonts w:hint="eastAsia" w:ascii="宋体" w:hAnsi="宋体"/>
          <w:b/>
          <w:color w:val="000000" w:themeColor="text1"/>
          <w:sz w:val="21"/>
          <w:szCs w:val="21"/>
        </w:rPr>
        <w:t xml:space="preserve">，</w:t>
      </w:r>
      <w:bookmarkEnd w:id="37"/>
      <w:r/>
      <w:bookmarkEnd w:id="38"/>
      <w:r>
        <w:rPr>
          <w:rFonts w:hint="eastAsia" w:ascii="宋体" w:hAnsi="宋体"/>
          <w:b/>
          <w:color w:val="000000" w:themeColor="text1"/>
          <w:sz w:val="21"/>
          <w:szCs w:val="21"/>
        </w:rPr>
        <w:t xml:space="preserve">对投标价格作出解释，由</w:t>
      </w:r>
      <w:r>
        <w:rPr>
          <w:rFonts w:hint="eastAsia" w:ascii="宋体" w:hAnsi="宋体" w:cs="宋体"/>
          <w:b/>
          <w:color w:val="000000" w:themeColor="text1"/>
          <w:sz w:val="21"/>
          <w:szCs w:val="21"/>
          <w:lang w:val="en-US"/>
        </w:rPr>
        <w:t xml:space="preserve">评标委员会</w:t>
      </w:r>
      <w:r>
        <w:rPr>
          <w:rFonts w:hint="eastAsia" w:ascii="宋体" w:hAnsi="宋体"/>
          <w:b/>
          <w:color w:val="000000" w:themeColor="text1"/>
          <w:sz w:val="21"/>
          <w:szCs w:val="21"/>
        </w:rPr>
        <w:t xml:space="preserve">结合同类产品在主要电商平台的价格、该行业当地</w:t>
      </w:r>
      <w:bookmarkStart w:id="39" w:name="OLE_LINK8"/>
      <w:r/>
      <w:bookmarkStart w:id="40" w:name="OLE_LINK7"/>
      <w:r>
        <w:rPr>
          <w:rFonts w:hint="eastAsia" w:ascii="宋体" w:hAnsi="宋体"/>
          <w:b/>
          <w:color w:val="000000" w:themeColor="text1"/>
          <w:sz w:val="21"/>
          <w:szCs w:val="21"/>
        </w:rPr>
        <w:t xml:space="preserve">薪资</w:t>
      </w:r>
      <w:bookmarkEnd w:id="39"/>
      <w:r/>
      <w:bookmarkEnd w:id="40"/>
      <w:r>
        <w:rPr>
          <w:rFonts w:hint="eastAsia" w:ascii="宋体" w:hAnsi="宋体"/>
          <w:b/>
          <w:color w:val="000000" w:themeColor="text1"/>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3"/>
      <w:r/>
      <w:bookmarkEnd w:id="34"/>
      <w:r/>
      <w:bookmarkEnd w:id="30"/>
      <w:r/>
    </w:p>
    <w:p>
      <w:pPr>
        <w:pStyle w:val="107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76"/>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76"/>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76"/>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7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7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1" w:name="_Toc18442"/>
      <w:r/>
      <w:bookmarkStart w:id="42" w:name="_Toc19501"/>
      <w:r/>
      <w:r/>
    </w:p>
    <w:p>
      <w:pPr>
        <w:pStyle w:val="1076"/>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1"/>
      <w:r/>
      <w:bookmarkEnd w:id="42"/>
      <w:r/>
      <w:r/>
    </w:p>
    <w:p>
      <w:pPr>
        <w:pStyle w:val="1076"/>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7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7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7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76"/>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7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3" w:name="_Toc21029"/>
      <w:r/>
      <w:bookmarkStart w:id="44" w:name="_Toc8186"/>
      <w:r/>
      <w:r/>
    </w:p>
    <w:p>
      <w:pPr>
        <w:pStyle w:val="1076"/>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3"/>
      <w:r/>
      <w:bookmarkEnd w:id="44"/>
      <w:r/>
      <w:r/>
    </w:p>
    <w:p>
      <w:pPr>
        <w:pStyle w:val="1076"/>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76"/>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76"/>
        <w:ind w:left="0" w:firstLine="0"/>
        <w:spacing w:line="360" w:lineRule="auto"/>
        <w:rPr>
          <w:rFonts w:ascii="宋体" w:hAnsi="宋体" w:cs="宋体"/>
          <w:sz w:val="21"/>
          <w:szCs w:val="21"/>
        </w:rPr>
      </w:pPr>
      <w:r>
        <w:rPr>
          <w:rFonts w:ascii="宋体" w:hAnsi="宋体" w:cs="宋体"/>
          <w:sz w:val="21"/>
          <w:szCs w:val="21"/>
        </w:rPr>
      </w:r>
      <w:r/>
    </w:p>
    <w:p>
      <w:pPr>
        <w:pStyle w:val="842"/>
        <w:ind w:left="0" w:firstLine="0"/>
        <w:jc w:val="center"/>
        <w:rPr>
          <w:rFonts w:ascii="宋体" w:hAnsi="宋体"/>
          <w:sz w:val="21"/>
          <w:szCs w:val="21"/>
          <w:lang w:val="zh-CN"/>
        </w:rPr>
      </w:pPr>
      <w:r/>
      <w:bookmarkStart w:id="45" w:name="_Toc105397778"/>
      <w:r/>
      <w:bookmarkStart w:id="46" w:name="_Toc24711"/>
      <w:r/>
      <w:bookmarkStart w:id="47" w:name="_Toc7264"/>
      <w:r>
        <w:rPr>
          <w:rFonts w:hint="eastAsia" w:ascii="宋体" w:hAnsi="宋体"/>
          <w:b/>
          <w:sz w:val="44"/>
          <w:szCs w:val="22"/>
        </w:rPr>
        <w:br w:type="page" w:clear="all"/>
      </w:r>
      <w:r>
        <w:rPr>
          <w:rFonts w:hint="eastAsia" w:ascii="宋体" w:hAnsi="宋体"/>
          <w:b/>
          <w:sz w:val="44"/>
          <w:szCs w:val="22"/>
        </w:rPr>
        <w:t xml:space="preserve">第三章  </w:t>
      </w:r>
      <w:bookmarkStart w:id="48" w:name="投标文件格式"/>
      <w:r/>
      <w:bookmarkEnd w:id="48"/>
      <w:r>
        <w:rPr>
          <w:rFonts w:hint="eastAsia" w:ascii="宋体" w:hAnsi="宋体"/>
          <w:b/>
          <w:sz w:val="44"/>
          <w:szCs w:val="22"/>
        </w:rPr>
        <w:t xml:space="preserve">投标文件格式</w:t>
      </w:r>
      <w:bookmarkEnd w:id="45"/>
      <w:r/>
      <w:bookmarkEnd w:id="46"/>
      <w:r/>
      <w:bookmarkEnd w:id="47"/>
      <w:r/>
      <w:r/>
    </w:p>
    <w:p>
      <w:pPr>
        <w:ind w:left="0"/>
        <w:spacing w:line="440" w:lineRule="exact"/>
        <w:rPr>
          <w:rFonts w:ascii="宋体" w:hAnsi="宋体"/>
          <w:b/>
          <w:sz w:val="21"/>
          <w:szCs w:val="21"/>
        </w:rPr>
      </w:pPr>
      <w:r>
        <w:rPr>
          <w:rFonts w:ascii="宋体" w:hAnsi="宋体"/>
          <w:b/>
          <w:sz w:val="21"/>
          <w:szCs w:val="21"/>
        </w:rPr>
        <w:t xml:space="preserve">说明：</w:t>
      </w:r>
      <w:r/>
    </w:p>
    <w:p>
      <w:pPr>
        <w:pStyle w:val="1076"/>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9" w:name="_Toc17036"/>
      <w:r/>
      <w:bookmarkStart w:id="50" w:name="_Toc105397779"/>
      <w:r/>
      <w:bookmarkStart w:id="51" w:name="_Toc71810480"/>
      <w:r/>
      <w:bookmarkStart w:id="52" w:name="_Toc3821"/>
      <w:r>
        <w:rPr>
          <w:rFonts w:hint="eastAsia" w:ascii="宋体" w:hAnsi="宋体"/>
          <w:b/>
          <w:sz w:val="21"/>
          <w:szCs w:val="21"/>
        </w:rPr>
        <w:t xml:space="preserve">附件1.投标函</w:t>
      </w:r>
      <w:bookmarkEnd w:id="49"/>
      <w:r/>
      <w:bookmarkEnd w:id="50"/>
      <w:r/>
      <w:bookmarkEnd w:id="51"/>
      <w:r/>
      <w:bookmarkEnd w:id="52"/>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3" w:name="_Toc71810481"/>
      <w:r/>
      <w:bookmarkStart w:id="54"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3"/>
      <w:r/>
      <w:bookmarkEnd w:id="54"/>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5" w:name="TBR"/>
      <w:r/>
      <w:bookmarkEnd w:id="5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6" w:name="XMBH"/>
      <w:r/>
      <w:bookmarkEnd w:id="5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7" w:name="FBH"/>
      <w:r/>
      <w:bookmarkEnd w:id="57"/>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8" w:name="XMMC"/>
            <w:r/>
            <w:bookmarkEnd w:id="58"/>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59" w:name="JEXX"/>
            <w:r/>
            <w:bookmarkEnd w:id="59"/>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0" w:name="JEDX"/>
            <w:r/>
            <w:bookmarkEnd w:id="60"/>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1" w:name="NF"/>
      <w:r/>
      <w:bookmarkEnd w:id="61"/>
      <w:r>
        <w:rPr>
          <w:rFonts w:hint="eastAsia" w:ascii="宋体" w:hAnsi="宋体"/>
          <w:sz w:val="21"/>
          <w:szCs w:val="21"/>
        </w:rPr>
        <w:t xml:space="preserve"> 年 </w:t>
      </w:r>
      <w:bookmarkStart w:id="62" w:name="YF"/>
      <w:r/>
      <w:bookmarkEnd w:id="62"/>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3" w:name="RI"/>
      <w:r/>
      <w:bookmarkEnd w:id="63"/>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68"/>
        <w:rPr>
          <w:rFonts w:ascii="宋体" w:hAnsi="宋体"/>
        </w:rPr>
      </w:pPr>
      <w:r>
        <w:rPr>
          <w:rFonts w:ascii="宋体" w:hAnsi="宋体"/>
        </w:rPr>
      </w:r>
      <w:r/>
    </w:p>
    <w:p>
      <w:pPr>
        <w:ind w:left="0"/>
        <w:spacing w:line="440" w:lineRule="exact"/>
        <w:rPr>
          <w:rFonts w:ascii="宋体" w:hAnsi="宋体"/>
          <w:b/>
          <w:sz w:val="21"/>
          <w:szCs w:val="21"/>
        </w:rPr>
      </w:pPr>
      <w:r/>
      <w:bookmarkStart w:id="64" w:name="_Toc241"/>
      <w:r/>
      <w:bookmarkStart w:id="65" w:name="_Toc7945"/>
      <w:r/>
      <w:bookmarkStart w:id="66"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68"/>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7" w:name="_Toc105397781"/>
      <w:r>
        <w:rPr>
          <w:rFonts w:ascii="宋体" w:hAnsi="宋体"/>
          <w:b/>
          <w:sz w:val="21"/>
          <w:szCs w:val="21"/>
        </w:rPr>
        <w:t xml:space="preserve">附件3</w:t>
      </w:r>
      <w:bookmarkEnd w:id="64"/>
      <w:r/>
      <w:bookmarkEnd w:id="65"/>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66"/>
      <w:r/>
      <w:bookmarkEnd w:id="67"/>
      <w:r/>
      <w:r/>
    </w:p>
    <w:p>
      <w:pPr>
        <w:pStyle w:val="854"/>
      </w:pPr>
      <w:r/>
      <w:r/>
    </w:p>
    <w:p>
      <w:pPr>
        <w:ind w:left="0"/>
        <w:jc w:val="center"/>
        <w:spacing w:line="360" w:lineRule="auto"/>
        <w:widowControl w:val="off"/>
        <w:rPr>
          <w:rFonts w:ascii="宋体" w:hAnsi="宋体"/>
          <w:b/>
          <w:sz w:val="21"/>
          <w:szCs w:val="21"/>
        </w:rPr>
      </w:pPr>
      <w:r>
        <w:rPr>
          <w:rFonts w:hint="eastAsia" w:ascii="宋体" w:hAnsi="宋体"/>
          <w:b/>
          <w:sz w:val="21"/>
          <w:szCs w:val="21"/>
        </w:rPr>
        <w:t xml:space="preserve">公开分项报价</w:t>
      </w:r>
      <w:r/>
    </w:p>
    <w:p>
      <w:pPr>
        <w:ind w:left="0"/>
        <w:jc w:val="right"/>
        <w:spacing w:line="360" w:lineRule="auto"/>
        <w:rPr>
          <w:rFonts w:ascii="宋体" w:hAnsi="宋体"/>
          <w:sz w:val="21"/>
          <w:szCs w:val="21"/>
        </w:rPr>
      </w:pPr>
      <w:r>
        <w:rPr>
          <w:rFonts w:hint="eastAsia" w:ascii="宋体" w:hAnsi="宋体"/>
          <w:sz w:val="21"/>
          <w:szCs w:val="21"/>
        </w:rPr>
        <w:t xml:space="preserve">单位：元（人民币） </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bl>
    <w:p>
      <w:pPr>
        <w:ind w:right="840" w:firstLine="5250"/>
        <w:spacing w:line="360" w:lineRule="auto"/>
        <w:rPr>
          <w:rFonts w:ascii="宋体" w:hAnsi="宋体"/>
          <w:sz w:val="21"/>
          <w:szCs w:val="21"/>
        </w:rPr>
      </w:pPr>
      <w:r>
        <w:rPr>
          <w:rFonts w:ascii="宋体" w:hAnsi="宋体"/>
          <w:sz w:val="21"/>
          <w:szCs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1.报价表包含投标人各项成本核算和投入的成本明细，合计金额应与《开标一览表》合计金额一致；否则，以《开标一览表》为准。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.若事项较多，投标人可根据投标内容的实际情况另纸说明。</w:t>
      </w:r>
      <w:r>
        <w:rPr>
          <w:rFonts w:ascii="宋体" w:hAnsi="宋体"/>
          <w:sz w:val="21"/>
          <w:szCs w:val="21"/>
        </w:rPr>
        <w:t xml:space="preserve"> </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901"/>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68" w:name="_Toc105397782"/>
      <w:r/>
      <w:bookmarkStart w:id="69"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8"/>
      <w:r/>
      <w:bookmarkEnd w:id="6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68"/>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0" w:name="_Toc21574"/>
      <w:r/>
      <w:bookmarkStart w:id="71" w:name="_Toc71810484"/>
      <w:r/>
      <w:bookmarkStart w:id="72" w:name="_Toc19621"/>
      <w:r/>
      <w:bookmarkStart w:id="73" w:name="_Toc105397783"/>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0"/>
      <w:r/>
      <w:bookmarkEnd w:id="71"/>
      <w:r/>
      <w:bookmarkEnd w:id="72"/>
      <w:r/>
      <w:bookmarkEnd w:id="7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苏州市企业服务中心</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苏州市智能制造融合发展中心运营项目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苏州市智能制造融合发展中心运营项目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09"/>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74"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68"/>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5"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4"/>
      <w:r/>
      <w:bookmarkEnd w:id="7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6" w:name="_Toc15378"/>
      <w:r/>
      <w:bookmarkStart w:id="77" w:name="_Toc32206"/>
      <w:r/>
      <w:bookmarkStart w:id="78"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6"/>
      <w:r/>
      <w:bookmarkEnd w:id="77"/>
      <w:r/>
      <w:bookmarkEnd w:id="7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1"/>
        <w:ind w:left="0" w:firstLine="0"/>
        <w:rPr>
          <w:rFonts w:ascii="宋体" w:hAnsi="宋体"/>
          <w:b/>
          <w:lang w:val="zh-CN"/>
        </w:rPr>
      </w:pPr>
      <w:r>
        <w:rPr>
          <w:rFonts w:ascii="宋体" w:hAnsi="宋体"/>
          <w:b/>
          <w:lang w:val="zh-CN"/>
        </w:rPr>
      </w:r>
      <w:r/>
    </w:p>
    <w:p>
      <w:pPr>
        <w:pStyle w:val="901"/>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1"/>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1"/>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1"/>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1"/>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79" w:name="_Toc71810487"/>
      <w:r/>
      <w:bookmarkStart w:id="80" w:name="_Toc105397785"/>
      <w:r>
        <w:rPr>
          <w:rFonts w:ascii="宋体" w:hAnsi="宋体"/>
          <w:b/>
          <w:sz w:val="21"/>
          <w:szCs w:val="21"/>
        </w:rPr>
        <w:t xml:space="preserve">附件7</w:t>
      </w:r>
      <w:r>
        <w:rPr>
          <w:rFonts w:hint="eastAsia" w:ascii="宋体" w:hAnsi="宋体"/>
          <w:b/>
          <w:sz w:val="21"/>
          <w:szCs w:val="21"/>
        </w:rPr>
        <w:t xml:space="preserve">.</w:t>
      </w:r>
      <w:bookmarkEnd w:id="79"/>
      <w:r>
        <w:rPr>
          <w:rFonts w:hint="eastAsia" w:ascii="宋体" w:hAnsi="宋体"/>
        </w:rPr>
        <w:t xml:space="preserve"> </w:t>
      </w:r>
      <w:r>
        <w:rPr>
          <w:rFonts w:hint="eastAsia" w:ascii="宋体" w:hAnsi="宋体"/>
          <w:b/>
          <w:sz w:val="21"/>
          <w:szCs w:val="21"/>
        </w:rPr>
        <w:t xml:space="preserve">偏离表（技术、商务）</w:t>
      </w:r>
      <w:bookmarkEnd w:id="8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1" w:name="_Toc27138"/>
      <w:r/>
      <w:bookmarkStart w:id="82" w:name="_Toc31973"/>
      <w:r>
        <w:rPr>
          <w:rFonts w:ascii="宋体" w:hAnsi="宋体"/>
          <w:sz w:val="21"/>
          <w:szCs w:val="21"/>
        </w:rPr>
        <w:t xml:space="preserve"> </w:t>
      </w:r>
      <w:r/>
    </w:p>
    <w:p>
      <w:pPr>
        <w:pStyle w:val="868"/>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cs="Times New Roman"/>
        </w:rPr>
      </w:pPr>
      <w:r>
        <w:rPr>
          <w:rFonts w:ascii="宋体" w:hAnsi="宋体" w:cs="Times New Roman"/>
        </w:rPr>
      </w:r>
      <w:r/>
    </w:p>
    <w:p>
      <w:pPr>
        <w:pStyle w:val="868"/>
        <w:rPr>
          <w:rFonts w:ascii="宋体" w:hAnsi="宋体"/>
        </w:rPr>
      </w:pPr>
      <w:r>
        <w:rPr>
          <w:rFonts w:ascii="宋体" w:hAnsi="宋体"/>
        </w:rPr>
      </w:r>
      <w:r/>
    </w:p>
    <w:p>
      <w:pPr>
        <w:pStyle w:val="86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3"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8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 </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84" w:name="_Toc71810489"/>
      <w:r/>
      <w:bookmarkStart w:id="85" w:name="_Toc105397787"/>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84"/>
      <w:r/>
      <w:bookmarkEnd w:id="8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8"/>
        <w:rPr>
          <w:rFonts w:ascii="宋体" w:hAnsi="宋体"/>
        </w:rPr>
      </w:pPr>
      <w:r>
        <w:rPr>
          <w:rFonts w:ascii="宋体" w:hAnsi="宋体"/>
        </w:rPr>
      </w:r>
      <w:r/>
    </w:p>
    <w:p>
      <w:pPr>
        <w:pStyle w:val="86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86" w:name="_Toc105397788"/>
      <w:r/>
      <w:bookmarkStart w:id="87" w:name="_Toc71810490"/>
      <w:r/>
      <w:bookmarkEnd w:id="81"/>
      <w:r/>
      <w:bookmarkEnd w:id="82"/>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8"/>
        <w:rPr>
          <w:rFonts w:ascii="宋体" w:hAnsi="宋体"/>
        </w:rPr>
      </w:pPr>
      <w:r>
        <w:rPr>
          <w:rFonts w:ascii="宋体" w:hAnsi="宋体"/>
        </w:rPr>
      </w:r>
      <w:r/>
    </w:p>
    <w:p>
      <w:pPr>
        <w:pStyle w:val="86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8"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7"/>
      <w:r/>
      <w:bookmarkEnd w:id="8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54"/>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89" w:name="OLE_LINK21"/>
      <w:r>
        <w:rPr>
          <w:rFonts w:hint="eastAsia" w:ascii="宋体" w:hAnsi="宋体"/>
          <w:b/>
          <w:color w:val="000000" w:themeColor="text1"/>
          <w:sz w:val="21"/>
          <w:szCs w:val="21"/>
          <w:lang w:val="zh-CN"/>
        </w:rPr>
        <w:t xml:space="preserve">备注:根据招标文件第二章“投标人须知”第26.4</w:t>
      </w:r>
      <w:bookmarkStart w:id="90" w:name="OLE_LINK12"/>
      <w:r>
        <w:rPr>
          <w:rFonts w:hint="eastAsia" w:ascii="宋体" w:hAnsi="宋体"/>
          <w:b/>
          <w:color w:val="000000" w:themeColor="text1"/>
          <w:sz w:val="21"/>
          <w:szCs w:val="21"/>
          <w:lang w:val="zh-CN"/>
        </w:rPr>
        <w:t xml:space="preserve">条要求，在评标过程中当出现投标</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50%或者投标</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End w:id="90"/>
      <w:r>
        <w:rPr>
          <w:rFonts w:hint="eastAsia" w:ascii="宋体" w:hAnsi="宋体"/>
          <w:b/>
          <w:color w:val="000000" w:themeColor="text1"/>
          <w:sz w:val="21"/>
          <w:szCs w:val="21"/>
          <w:lang w:val="zh-CN"/>
        </w:rPr>
        <w:t xml:space="preserve">或者评标委员会认定的供应商报价过低、有可能影响产品质量或者不能诚信履约的其他情形时,</w:t>
      </w:r>
      <w:bookmarkStart w:id="91" w:name="OLE_LINK18"/>
      <w:r/>
      <w:bookmarkStart w:id="92" w:name="OLE_LINK19"/>
      <w:r>
        <w:rPr>
          <w:rFonts w:hint="eastAsia" w:ascii="宋体" w:hAnsi="宋体"/>
          <w:b/>
          <w:color w:val="000000" w:themeColor="text1"/>
          <w:sz w:val="21"/>
          <w:szCs w:val="21"/>
          <w:lang w:val="zh-CN"/>
        </w:rPr>
        <w:t xml:space="preserve">评标委员会</w:t>
      </w:r>
      <w:bookmarkEnd w:id="91"/>
      <w:r/>
      <w:bookmarkEnd w:id="92"/>
      <w:r>
        <w:rPr>
          <w:rFonts w:hint="eastAsia" w:ascii="宋体" w:hAnsi="宋体"/>
          <w:b/>
          <w:color w:val="000000" w:themeColor="text1"/>
          <w:sz w:val="21"/>
          <w:szCs w:val="21"/>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89"/>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w:t>
      </w:r>
      <w:r>
        <w:rPr>
          <w:rFonts w:hint="eastAsia" w:ascii="宋体" w:hAnsi="宋体"/>
          <w:color w:val="000000" w:themeColor="text1"/>
          <w:sz w:val="21"/>
          <w:szCs w:val="21"/>
        </w:rPr>
        <w:t xml:space="preserve">：</w:t>
      </w:r>
      <w:r>
        <w:rPr>
          <w:rFonts w:ascii="宋体" w:hAnsi="宋体"/>
          <w:color w:val="000000" w:themeColor="text1"/>
          <w:sz w:val="21"/>
          <w:szCs w:val="21"/>
        </w:rPr>
        <w:t xml:space="preserve">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54"/>
        <w:ind w:left="0" w:firstLine="0"/>
        <w:rPr>
          <w:lang w:val="zh-CN"/>
        </w:rPr>
      </w:pPr>
      <w:r>
        <w:rPr>
          <w:lang w:val="zh-CN"/>
        </w:rPr>
      </w:r>
      <w:r/>
    </w:p>
    <w:p>
      <w:pPr>
        <w:pStyle w:val="842"/>
        <w:ind w:left="0" w:firstLine="0"/>
        <w:jc w:val="center"/>
        <w:rPr>
          <w:rFonts w:ascii="宋体" w:hAnsi="宋体"/>
          <w:b/>
          <w:sz w:val="44"/>
          <w:szCs w:val="22"/>
        </w:rPr>
      </w:pPr>
      <w:r/>
      <w:bookmarkStart w:id="93" w:name="_Toc23660"/>
      <w:r/>
      <w:bookmarkStart w:id="94" w:name="_Toc105397793"/>
      <w:r/>
      <w:bookmarkStart w:id="95" w:name="_Toc4098"/>
      <w:r>
        <w:rPr>
          <w:rFonts w:hint="eastAsia" w:ascii="宋体" w:hAnsi="宋体"/>
          <w:b/>
          <w:sz w:val="44"/>
          <w:szCs w:val="22"/>
        </w:rPr>
        <w:t xml:space="preserve">第四章  </w:t>
      </w:r>
      <w:bookmarkStart w:id="96" w:name="招标书"/>
      <w:r/>
      <w:bookmarkEnd w:id="96"/>
      <w:r>
        <w:rPr>
          <w:rFonts w:hint="eastAsia" w:ascii="宋体" w:hAnsi="宋体"/>
          <w:b/>
          <w:sz w:val="44"/>
          <w:szCs w:val="22"/>
        </w:rPr>
        <w:t xml:space="preserve">招标书</w:t>
      </w:r>
      <w:bookmarkEnd w:id="93"/>
      <w:r/>
      <w:bookmarkEnd w:id="94"/>
      <w:r/>
      <w:bookmarkEnd w:id="95"/>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苏州市企业服务中心 </w:t>
      </w:r>
      <w:r>
        <w:rPr>
          <w:rFonts w:ascii="宋体" w:hAnsi="宋体"/>
          <w:sz w:val="21"/>
        </w:rPr>
        <w:t xml:space="preserve">的委托，就</w:t>
      </w:r>
      <w:r>
        <w:rPr>
          <w:rFonts w:hint="eastAsia" w:ascii="宋体" w:hAnsi="宋体"/>
          <w:sz w:val="21"/>
          <w:u w:val="single"/>
        </w:rPr>
        <w:t xml:space="preserve"> 苏州市智能制造融合发展中心运营项目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JSZC-320500-JZCG-G2025-0605</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二、项目名称：苏州市智能制造融合发展中心运营项目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三、预算金额：人民币壹佰伍拾伍万元整（¥</w:t>
      </w:r>
      <w:r>
        <w:rPr>
          <w:rFonts w:ascii="宋体" w:hAnsi="宋体"/>
          <w:sz w:val="21"/>
        </w:rPr>
        <w:t xml:space="preserve">1550000.00</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四、最高限价：人民币壹佰伍拾伍万元整（¥</w:t>
      </w:r>
      <w:r>
        <w:rPr>
          <w:rFonts w:ascii="宋体" w:hAnsi="宋体"/>
          <w:sz w:val="21"/>
        </w:rPr>
        <w:t xml:space="preserve">1550000.00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五、合同履行期限：2026年1月1日至2026年12月31日</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（一）项目背景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苏州市智能制造融合发展中心（市人工智能+制造业创新应用中心），是苏州市顺应全球人工智能发展新态势，持续推动人工智能产业强链补链延链的全天候开放式门户，是全国首批7家工业互联网平台体验中心项目之一。中心位于苏州市高新区泰山路 601 号，建筑面积 6000 平方米。不仅全方位展示了苏州市智能制造发展成果，以及苏州 AI+制造业应用场景，为企业智能化升级改造提供政策支持、技术演示、案例参考等支撑，还提供高端培训、供需对接、产融对接等一站式综合服务。</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（二）服务要求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1.服务内容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（1）接待讲解服务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（2）设备维护服务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（3）综合运营服务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2.服务人员配置</w:t>
      </w:r>
      <w:r/>
    </w:p>
    <w:tbl>
      <w:tblPr>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14"/>
        <w:gridCol w:w="1454"/>
        <w:gridCol w:w="851"/>
        <w:gridCol w:w="1701"/>
        <w:gridCol w:w="3413"/>
        <w:gridCol w:w="1848"/>
      </w:tblGrid>
      <w:tr>
        <w:trPr>
          <w:jc w:val="center"/>
          <w:trHeight w:val="568"/>
        </w:trPr>
        <w:tc>
          <w:tcPr>
            <w:shd w:val="clear" w:color="auto" w:fill="ffffff"/>
            <w:tcW w:w="514" w:type="dxa"/>
            <w:vAlign w:val="center"/>
            <w:textDirection w:val="lrTb"/>
            <w:noWrap w:val="false"/>
          </w:tcPr>
          <w:p>
            <w:pPr>
              <w:ind w:left="0"/>
              <w:jc w:val="center"/>
              <w:spacing w:line="360" w:lineRule="auto"/>
              <w:tabs>
                <w:tab w:val="left" w:pos="420" w:leader="none"/>
                <w:tab w:val="left" w:pos="540" w:leader="none"/>
              </w:tabs>
              <w:rPr>
                <w:rFonts w:ascii="宋体" w:hAnsi="宋体"/>
                <w:b/>
                <w:sz w:val="21"/>
              </w:rPr>
            </w:pPr>
            <w:r>
              <w:rPr>
                <w:rFonts w:hint="eastAsia" w:ascii="宋体" w:hAnsi="宋体"/>
                <w:b/>
                <w:sz w:val="21"/>
              </w:rPr>
              <w:t xml:space="preserve">序号</w:t>
            </w:r>
            <w:r/>
          </w:p>
        </w:tc>
        <w:tc>
          <w:tcPr>
            <w:shd w:val="clear" w:color="auto" w:fill="ffffff"/>
            <w:tcW w:w="1454" w:type="dxa"/>
            <w:vAlign w:val="center"/>
            <w:textDirection w:val="lrTb"/>
            <w:noWrap w:val="false"/>
          </w:tcPr>
          <w:p>
            <w:pPr>
              <w:ind w:left="0"/>
              <w:jc w:val="center"/>
              <w:spacing w:line="360" w:lineRule="auto"/>
              <w:tabs>
                <w:tab w:val="left" w:pos="420" w:leader="none"/>
                <w:tab w:val="left" w:pos="540" w:leader="none"/>
              </w:tabs>
              <w:rPr>
                <w:rFonts w:ascii="宋体" w:hAnsi="宋体"/>
                <w:b/>
                <w:sz w:val="21"/>
              </w:rPr>
            </w:pPr>
            <w:r>
              <w:rPr>
                <w:rFonts w:hint="eastAsia" w:ascii="宋体" w:hAnsi="宋体"/>
                <w:b/>
                <w:sz w:val="21"/>
              </w:rPr>
              <w:t xml:space="preserve">岗位名称</w:t>
            </w:r>
            <w:r/>
          </w:p>
        </w:tc>
        <w:tc>
          <w:tcPr>
            <w:shd w:val="clear" w:color="auto" w:fill="ffffff"/>
            <w:tcW w:w="851" w:type="dxa"/>
            <w:vAlign w:val="center"/>
            <w:textDirection w:val="lrTb"/>
            <w:noWrap w:val="false"/>
          </w:tcPr>
          <w:p>
            <w:pPr>
              <w:ind w:left="0"/>
              <w:jc w:val="center"/>
              <w:spacing w:line="360" w:lineRule="auto"/>
              <w:tabs>
                <w:tab w:val="left" w:pos="420" w:leader="none"/>
                <w:tab w:val="left" w:pos="540" w:leader="none"/>
              </w:tabs>
              <w:rPr>
                <w:rFonts w:ascii="宋体" w:hAnsi="宋体"/>
                <w:b/>
                <w:sz w:val="21"/>
              </w:rPr>
            </w:pPr>
            <w:r>
              <w:rPr>
                <w:rFonts w:hint="eastAsia" w:ascii="宋体" w:hAnsi="宋体"/>
                <w:b/>
                <w:sz w:val="21"/>
              </w:rPr>
              <w:t xml:space="preserve">人数</w:t>
            </w:r>
            <w:r/>
          </w:p>
        </w:tc>
        <w:tc>
          <w:tcPr>
            <w:shd w:val="clear" w:color="auto" w:fill="ffffff"/>
            <w:tcW w:w="1701" w:type="dxa"/>
            <w:vAlign w:val="center"/>
            <w:textDirection w:val="lrTb"/>
            <w:noWrap w:val="false"/>
          </w:tcPr>
          <w:p>
            <w:pPr>
              <w:ind w:left="0"/>
              <w:jc w:val="center"/>
              <w:spacing w:line="360" w:lineRule="auto"/>
              <w:tabs>
                <w:tab w:val="left" w:pos="420" w:leader="none"/>
                <w:tab w:val="left" w:pos="540" w:leader="none"/>
              </w:tabs>
              <w:rPr>
                <w:rFonts w:ascii="宋体" w:hAnsi="宋体"/>
                <w:b/>
                <w:sz w:val="21"/>
              </w:rPr>
            </w:pPr>
            <w:r>
              <w:rPr>
                <w:rFonts w:hint="eastAsia" w:ascii="宋体" w:hAnsi="宋体"/>
                <w:b/>
                <w:sz w:val="21"/>
              </w:rPr>
              <w:t xml:space="preserve">工作时间</w:t>
            </w:r>
            <w:r/>
          </w:p>
        </w:tc>
        <w:tc>
          <w:tcPr>
            <w:shd w:val="clear" w:color="auto" w:fill="ffffff"/>
            <w:tcW w:w="3413" w:type="dxa"/>
            <w:vAlign w:val="center"/>
            <w:textDirection w:val="lrTb"/>
            <w:noWrap w:val="false"/>
          </w:tcPr>
          <w:p>
            <w:pPr>
              <w:ind w:left="0"/>
              <w:jc w:val="center"/>
              <w:spacing w:line="360" w:lineRule="auto"/>
              <w:tabs>
                <w:tab w:val="left" w:pos="420" w:leader="none"/>
                <w:tab w:val="left" w:pos="540" w:leader="none"/>
              </w:tabs>
              <w:rPr>
                <w:rFonts w:ascii="宋体" w:hAnsi="宋体"/>
                <w:b/>
                <w:sz w:val="21"/>
              </w:rPr>
            </w:pPr>
            <w:r>
              <w:rPr>
                <w:rFonts w:hint="eastAsia" w:ascii="宋体" w:hAnsi="宋体"/>
                <w:b/>
                <w:sz w:val="21"/>
              </w:rPr>
              <w:t xml:space="preserve">岗位工作</w:t>
            </w:r>
            <w:r/>
          </w:p>
        </w:tc>
        <w:tc>
          <w:tcPr>
            <w:shd w:val="clear" w:color="auto" w:fill="ffffff"/>
            <w:tcW w:w="1848" w:type="dxa"/>
            <w:vAlign w:val="center"/>
            <w:textDirection w:val="lrTb"/>
            <w:noWrap w:val="false"/>
          </w:tcPr>
          <w:p>
            <w:pPr>
              <w:ind w:left="0"/>
              <w:jc w:val="center"/>
              <w:spacing w:line="360" w:lineRule="auto"/>
              <w:tabs>
                <w:tab w:val="left" w:pos="420" w:leader="none"/>
                <w:tab w:val="left" w:pos="540" w:leader="none"/>
              </w:tabs>
              <w:rPr>
                <w:rFonts w:ascii="宋体" w:hAnsi="宋体"/>
                <w:b/>
                <w:sz w:val="21"/>
              </w:rPr>
            </w:pPr>
            <w:r>
              <w:rPr>
                <w:rFonts w:hint="eastAsia" w:ascii="宋体" w:hAnsi="宋体"/>
                <w:b/>
                <w:sz w:val="21"/>
              </w:rPr>
              <w:t xml:space="preserve">备注</w:t>
            </w:r>
            <w:r/>
          </w:p>
        </w:tc>
      </w:tr>
      <w:tr>
        <w:trPr>
          <w:jc w:val="center"/>
          <w:trHeight w:val="567"/>
        </w:trPr>
        <w:tc>
          <w:tcPr>
            <w:tcW w:w="514"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1</w:t>
            </w:r>
            <w:r/>
          </w:p>
        </w:tc>
        <w:tc>
          <w:tcPr>
            <w:tcW w:w="1454"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项目经理</w:t>
            </w:r>
            <w:r/>
          </w:p>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（可兼职）</w:t>
            </w:r>
            <w:r/>
          </w:p>
        </w:tc>
        <w:tc>
          <w:tcPr>
            <w:tcW w:w="851"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1</w:t>
            </w:r>
            <w:r/>
          </w:p>
        </w:tc>
        <w:tc>
          <w:tcPr>
            <w:tcW w:w="1701"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8:30~17:30</w:t>
            </w:r>
            <w:r/>
          </w:p>
        </w:tc>
        <w:tc>
          <w:tcPr>
            <w:tcW w:w="3413" w:type="dxa"/>
            <w:vAlign w:val="center"/>
            <w:textDirection w:val="lrTb"/>
            <w:noWrap/>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负责展厅的总体运营，包括展厅活动的策划、实施以及展厅接待讲解、设备的正常运营等。</w:t>
            </w:r>
            <w:r/>
          </w:p>
        </w:tc>
        <w:tc>
          <w:tcPr>
            <w:tcW w:w="1848" w:type="dxa"/>
            <w:vAlign w:val="center"/>
            <w:textDirection w:val="lrTb"/>
            <w:noWrap/>
          </w:tcPr>
          <w:p>
            <w:pPr>
              <w:ind w:left="0"/>
              <w:spacing w:line="360" w:lineRule="auto"/>
              <w:tabs>
                <w:tab w:val="left" w:pos="420" w:leader="none"/>
                <w:tab w:val="left" w:pos="540" w:leader="none"/>
              </w:tabs>
              <w:rPr>
                <w:rFonts w:ascii="宋体" w:hAnsi="宋体"/>
                <w:sz w:val="21"/>
              </w:rPr>
            </w:pPr>
            <w:r>
              <w:rPr>
                <w:rFonts w:ascii="宋体" w:hAnsi="宋体"/>
                <w:sz w:val="21"/>
              </w:rPr>
            </w:r>
            <w:r/>
          </w:p>
        </w:tc>
      </w:tr>
      <w:tr>
        <w:trPr>
          <w:jc w:val="center"/>
          <w:trHeight w:val="567"/>
        </w:trPr>
        <w:tc>
          <w:tcPr>
            <w:tcW w:w="514"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2</w:t>
            </w:r>
            <w:r/>
          </w:p>
        </w:tc>
        <w:tc>
          <w:tcPr>
            <w:tcW w:w="1454"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综合运营服务人员</w:t>
            </w:r>
            <w:r/>
          </w:p>
        </w:tc>
        <w:tc>
          <w:tcPr>
            <w:tcW w:w="851"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1</w:t>
            </w:r>
            <w:r/>
          </w:p>
        </w:tc>
        <w:tc>
          <w:tcPr>
            <w:tcW w:w="1701"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8:30~17:30</w:t>
            </w:r>
            <w:r/>
          </w:p>
        </w:tc>
        <w:tc>
          <w:tcPr>
            <w:tcW w:w="3413" w:type="dxa"/>
            <w:vAlign w:val="center"/>
            <w:textDirection w:val="lrTb"/>
            <w:noWrap/>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负责项目综合运营服务，讲解、会务等，服从甲方的日常工作安排。</w:t>
            </w:r>
            <w:r/>
          </w:p>
        </w:tc>
        <w:tc>
          <w:tcPr>
            <w:tcW w:w="1848" w:type="dxa"/>
            <w:vAlign w:val="center"/>
            <w:vMerge w:val="restart"/>
            <w:textDirection w:val="lrTb"/>
            <w:noWrap/>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确保展厅常驻人员不少于3人</w:t>
            </w:r>
            <w:r/>
          </w:p>
        </w:tc>
      </w:tr>
      <w:tr>
        <w:trPr>
          <w:jc w:val="center"/>
          <w:trHeight w:val="567"/>
        </w:trPr>
        <w:tc>
          <w:tcPr>
            <w:tcW w:w="514"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3</w:t>
            </w:r>
            <w:r/>
          </w:p>
        </w:tc>
        <w:tc>
          <w:tcPr>
            <w:tcW w:w="1454"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展厅接待</w:t>
            </w:r>
            <w:r/>
          </w:p>
        </w:tc>
        <w:tc>
          <w:tcPr>
            <w:tcW w:w="851"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2</w:t>
            </w:r>
            <w:r/>
          </w:p>
        </w:tc>
        <w:tc>
          <w:tcPr>
            <w:tcW w:w="1701"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8:30~17:30</w:t>
            </w:r>
            <w:r/>
          </w:p>
        </w:tc>
        <w:tc>
          <w:tcPr>
            <w:tcW w:w="3413" w:type="dxa"/>
            <w:vAlign w:val="center"/>
            <w:textDirection w:val="lrTb"/>
            <w:noWrap/>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负责日常政府、社会团体、企业、市民等参访的接待讲解工作，服从甲方的日常工作安排。</w:t>
            </w:r>
            <w:r/>
          </w:p>
        </w:tc>
        <w:tc>
          <w:tcPr>
            <w:tcW w:w="1848" w:type="dxa"/>
            <w:vAlign w:val="center"/>
            <w:vMerge w:val="continue"/>
            <w:textDirection w:val="lrTb"/>
            <w:noWrap/>
          </w:tcPr>
          <w:p>
            <w:pPr>
              <w:ind w:left="0" w:firstLine="420"/>
              <w:spacing w:line="360" w:lineRule="auto"/>
              <w:tabs>
                <w:tab w:val="left" w:pos="420" w:leader="none"/>
                <w:tab w:val="left" w:pos="540" w:leader="none"/>
              </w:tabs>
              <w:rPr>
                <w:rFonts w:ascii="宋体" w:hAnsi="宋体"/>
                <w:sz w:val="21"/>
              </w:rPr>
            </w:pPr>
            <w:r>
              <w:rPr>
                <w:rFonts w:ascii="宋体" w:hAnsi="宋体"/>
                <w:sz w:val="21"/>
              </w:rPr>
            </w:r>
            <w:r/>
          </w:p>
        </w:tc>
      </w:tr>
      <w:tr>
        <w:trPr>
          <w:jc w:val="center"/>
          <w:trHeight w:val="909"/>
        </w:trPr>
        <w:tc>
          <w:tcPr>
            <w:tcW w:w="514"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4</w:t>
            </w:r>
            <w:r/>
          </w:p>
        </w:tc>
        <w:tc>
          <w:tcPr>
            <w:tcW w:w="1454"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设备维保</w:t>
            </w:r>
            <w:r/>
          </w:p>
        </w:tc>
        <w:tc>
          <w:tcPr>
            <w:tcW w:w="851"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3</w:t>
            </w:r>
            <w:r/>
          </w:p>
        </w:tc>
        <w:tc>
          <w:tcPr>
            <w:tcW w:w="1701"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8:30~17:30</w:t>
            </w:r>
            <w:r/>
          </w:p>
        </w:tc>
        <w:tc>
          <w:tcPr>
            <w:tcW w:w="3413" w:type="dxa"/>
            <w:vAlign w:val="center"/>
            <w:textDirection w:val="lrTb"/>
            <w:noWrap/>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负责展厅设备、线路的维护及维保工作。</w:t>
            </w:r>
            <w:r/>
          </w:p>
        </w:tc>
        <w:tc>
          <w:tcPr>
            <w:tcW w:w="1848" w:type="dxa"/>
            <w:vAlign w:val="center"/>
            <w:textDirection w:val="lrTb"/>
            <w:noWrap/>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其中鼠标产线常驻专业工程师2人</w:t>
            </w:r>
            <w:r/>
          </w:p>
        </w:tc>
      </w:tr>
      <w:tr>
        <w:trPr>
          <w:jc w:val="center"/>
          <w:trHeight w:val="512"/>
        </w:trPr>
        <w:tc>
          <w:tcPr>
            <w:gridSpan w:val="2"/>
            <w:tcW w:w="1968"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合计</w:t>
            </w:r>
            <w:r/>
          </w:p>
        </w:tc>
        <w:tc>
          <w:tcPr>
            <w:tcW w:w="851"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7</w:t>
            </w:r>
            <w:r/>
          </w:p>
        </w:tc>
        <w:tc>
          <w:tcPr>
            <w:tcW w:w="1701"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ascii="宋体" w:hAnsi="宋体"/>
                <w:sz w:val="21"/>
              </w:rPr>
            </w:r>
            <w:r/>
          </w:p>
        </w:tc>
        <w:tc>
          <w:tcPr>
            <w:tcW w:w="3413"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ascii="宋体" w:hAnsi="宋体"/>
                <w:sz w:val="21"/>
              </w:rPr>
            </w:r>
            <w:r/>
          </w:p>
        </w:tc>
        <w:tc>
          <w:tcPr>
            <w:tcW w:w="1848" w:type="dxa"/>
            <w:vAlign w:val="center"/>
            <w:textDirection w:val="lrTb"/>
            <w:noWrap/>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　</w:t>
            </w:r>
            <w:r/>
          </w:p>
        </w:tc>
      </w:tr>
    </w:tbl>
    <w:p>
      <w:pPr>
        <w:ind w:left="0" w:firstLine="422"/>
        <w:spacing w:line="360" w:lineRule="auto"/>
        <w:tabs>
          <w:tab w:val="left" w:pos="420" w:leader="none"/>
          <w:tab w:val="left" w:pos="540" w:leader="none"/>
        </w:tabs>
        <w:rPr>
          <w:rFonts w:ascii="宋体" w:hAnsi="宋体"/>
          <w:b/>
          <w:sz w:val="21"/>
        </w:rPr>
      </w:pPr>
      <w:r>
        <w:rPr>
          <w:rFonts w:ascii="宋体" w:hAnsi="宋体"/>
          <w:b/>
          <w:sz w:val="21"/>
        </w:rPr>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（三）服务标准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1.项目经理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需配备项目经理1名，可兼职，主要负责展厅的总体运营，包括展厅活动的策划、实施以及展厅接待讲解、设备的正常运营等。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2.接待讲解服务</w:t>
      </w:r>
      <w:bookmarkStart w:id="97" w:name="_GoBack"/>
      <w:r/>
      <w:bookmarkEnd w:id="97"/>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展厅采取预约开放制，预约开放时间为周一至周六9:00-17:00（法定节假日除外），预约单位应至少提前一天通过邮件、短信、书面等形式发送展厅联络人</w:t>
      </w:r>
      <w:r>
        <w:rPr>
          <w:rFonts w:hint="eastAsia" w:ascii="宋体" w:hAnsi="宋体"/>
          <w:sz w:val="21"/>
        </w:rPr>
        <w:t xml:space="preserve">，</w:t>
      </w:r>
      <w:r>
        <w:rPr>
          <w:rFonts w:hint="eastAsia" w:ascii="宋体" w:hAnsi="宋体"/>
          <w:sz w:val="21"/>
        </w:rPr>
        <w:t xml:space="preserve">展厅</w:t>
      </w:r>
      <w:r>
        <w:rPr>
          <w:rFonts w:hint="eastAsia" w:ascii="宋体" w:hAnsi="宋体"/>
          <w:sz w:val="21"/>
        </w:rPr>
        <w:t xml:space="preserve">接待</w:t>
      </w:r>
      <w:r>
        <w:rPr>
          <w:rFonts w:hint="eastAsia" w:ascii="宋体" w:hAnsi="宋体"/>
          <w:sz w:val="21"/>
        </w:rPr>
        <w:t xml:space="preserve">人员</w:t>
      </w:r>
      <w:r>
        <w:rPr>
          <w:rFonts w:hint="eastAsia" w:ascii="宋体" w:hAnsi="宋体"/>
          <w:sz w:val="21"/>
        </w:rPr>
        <w:t xml:space="preserve">需配备2名（分</w:t>
      </w:r>
      <w:r>
        <w:rPr>
          <w:rFonts w:hint="eastAsia" w:ascii="宋体" w:hAnsi="宋体"/>
          <w:sz w:val="21"/>
        </w:rPr>
        <w:t xml:space="preserve">批次轮流讲解），根据来访单位学习要求，进行针对性的专业化讲解服务。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3.设备维护服务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（1）设</w:t>
      </w:r>
      <w:r>
        <w:rPr>
          <w:rFonts w:hint="eastAsia" w:ascii="宋体" w:hAnsi="宋体"/>
          <w:sz w:val="21"/>
        </w:rPr>
        <w:t xml:space="preserve">备维保</w:t>
      </w:r>
      <w:r>
        <w:rPr>
          <w:rFonts w:hint="eastAsia" w:ascii="宋体" w:hAnsi="宋体"/>
          <w:sz w:val="21"/>
        </w:rPr>
        <w:t xml:space="preserve">人员1人：负责展厅整体设施的定期检测维护和应急检修等技术服务，主要包括机房设备、影音屏幕、照明设施、强弱电、软硬件、通信网络、信息安全等方面，为日常和重要接待提供技术人员驻场保障服务；运维基线资料整理，保障设备清单，线路资料，软件硬件信息，供应商资料的完整性和准确性配合展厅更新升级工作，同时提供服务单位软硬件、基础网络等有关服务运维支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hint="eastAsia" w:ascii="宋体" w:hAnsi="宋体"/>
          <w:sz w:val="21"/>
        </w:rPr>
        <w:t xml:space="preserve">场馆内机器人设备维护服务</w:t>
      </w:r>
      <w:r>
        <w:rPr>
          <w:rFonts w:hint="eastAsia" w:ascii="宋体" w:hAnsi="宋体"/>
          <w:sz w:val="21"/>
        </w:rPr>
        <w:t xml:space="preserve">：</w:t>
      </w:r>
      <w:r/>
    </w:p>
    <w:tbl>
      <w:tblPr>
        <w:tblW w:w="9639"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27"/>
        <w:gridCol w:w="862"/>
        <w:gridCol w:w="1830"/>
        <w:gridCol w:w="6520"/>
      </w:tblGrid>
      <w:tr>
        <w:trPr>
          <w:trHeight w:val="525"/>
        </w:trPr>
        <w:tc>
          <w:tcPr>
            <w:shd w:val="clear" w:color="000000" w:fill="ffffff"/>
            <w:tcW w:w="427" w:type="dxa"/>
            <w:vAlign w:val="center"/>
            <w:textDirection w:val="lrTb"/>
            <w:noWrap/>
          </w:tcPr>
          <w:p>
            <w:pPr>
              <w:ind w:left="0"/>
              <w:jc w:val="center"/>
              <w:spacing w:line="360" w:lineRule="auto"/>
              <w:tabs>
                <w:tab w:val="left" w:pos="420" w:leader="none"/>
                <w:tab w:val="left" w:pos="540" w:leader="none"/>
              </w:tabs>
              <w:rPr>
                <w:rFonts w:ascii="宋体" w:hAnsi="宋体"/>
                <w:b/>
                <w:sz w:val="21"/>
              </w:rPr>
            </w:pPr>
            <w:r>
              <w:rPr>
                <w:rFonts w:hint="eastAsia" w:ascii="宋体" w:hAnsi="宋体"/>
                <w:b/>
                <w:sz w:val="21"/>
              </w:rPr>
              <w:t xml:space="preserve">序号</w:t>
            </w:r>
            <w:r/>
          </w:p>
        </w:tc>
        <w:tc>
          <w:tcPr>
            <w:gridSpan w:val="2"/>
            <w:shd w:val="clear" w:color="000000" w:fill="ffffff"/>
            <w:tcW w:w="2692" w:type="dxa"/>
            <w:vAlign w:val="center"/>
            <w:textDirection w:val="lrTb"/>
            <w:noWrap/>
          </w:tcPr>
          <w:p>
            <w:pPr>
              <w:ind w:left="0"/>
              <w:jc w:val="center"/>
              <w:spacing w:line="360" w:lineRule="auto"/>
              <w:tabs>
                <w:tab w:val="left" w:pos="420" w:leader="none"/>
                <w:tab w:val="left" w:pos="540" w:leader="none"/>
              </w:tabs>
              <w:rPr>
                <w:rFonts w:ascii="宋体" w:hAnsi="宋体"/>
                <w:b/>
                <w:sz w:val="21"/>
              </w:rPr>
            </w:pPr>
            <w:r>
              <w:rPr>
                <w:rFonts w:hint="eastAsia" w:ascii="宋体" w:hAnsi="宋体"/>
                <w:b/>
                <w:sz w:val="21"/>
              </w:rPr>
              <w:t xml:space="preserve">规格</w:t>
            </w:r>
            <w:r/>
          </w:p>
        </w:tc>
        <w:tc>
          <w:tcPr>
            <w:shd w:val="clear" w:color="000000" w:fill="ffffff"/>
            <w:tcW w:w="6520" w:type="dxa"/>
            <w:vAlign w:val="center"/>
            <w:textDirection w:val="lrTb"/>
            <w:noWrap w:val="false"/>
          </w:tcPr>
          <w:p>
            <w:pPr>
              <w:ind w:left="0"/>
              <w:jc w:val="center"/>
              <w:spacing w:line="360" w:lineRule="auto"/>
              <w:tabs>
                <w:tab w:val="left" w:pos="420" w:leader="none"/>
                <w:tab w:val="left" w:pos="540" w:leader="none"/>
              </w:tabs>
              <w:rPr>
                <w:rFonts w:ascii="宋体" w:hAnsi="宋体"/>
                <w:b/>
                <w:sz w:val="21"/>
              </w:rPr>
            </w:pPr>
            <w:r>
              <w:rPr>
                <w:rFonts w:hint="eastAsia" w:ascii="宋体" w:hAnsi="宋体"/>
                <w:b/>
                <w:sz w:val="21"/>
              </w:rPr>
              <w:t xml:space="preserve">维护及技术需求</w:t>
            </w:r>
            <w:r/>
          </w:p>
        </w:tc>
      </w:tr>
      <w:tr>
        <w:trPr>
          <w:trHeight w:val="495"/>
        </w:trPr>
        <w:tc>
          <w:tcPr>
            <w:shd w:val="clear" w:color="000000" w:fill="ffffff"/>
            <w:tcW w:w="427" w:type="dxa"/>
            <w:vAlign w:val="center"/>
            <w:textDirection w:val="lrTb"/>
            <w:noWrap/>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1</w:t>
            </w:r>
            <w:r/>
          </w:p>
        </w:tc>
        <w:tc>
          <w:tcPr>
            <w:shd w:val="clear" w:color="000000" w:fill="ffffff"/>
            <w:tcW w:w="862" w:type="dxa"/>
            <w:vAlign w:val="center"/>
            <w:textDirection w:val="lrTb"/>
            <w:noWrap/>
          </w:tcPr>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　</w:t>
            </w:r>
            <w:r/>
          </w:p>
        </w:tc>
        <w:tc>
          <w:tcPr>
            <w:shd w:val="clear" w:color="000000" w:fill="ffffff"/>
            <w:tcW w:w="183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网络</w:t>
            </w:r>
            <w:r/>
          </w:p>
        </w:tc>
        <w:tc>
          <w:tcPr>
            <w:shd w:val="clear" w:color="000000" w:fill="ffffff"/>
            <w:tcW w:w="65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支持5G移动网络环境下运行维护。</w:t>
            </w:r>
            <w:r/>
          </w:p>
        </w:tc>
      </w:tr>
      <w:tr>
        <w:trPr>
          <w:trHeight w:val="630"/>
        </w:trPr>
        <w:tc>
          <w:tcPr>
            <w:shd w:val="clear" w:color="000000" w:fill="ffffff"/>
            <w:tcW w:w="427" w:type="dxa"/>
            <w:vAlign w:val="center"/>
            <w:textDirection w:val="lrTb"/>
            <w:noWrap/>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2</w:t>
            </w:r>
            <w:r/>
          </w:p>
        </w:tc>
        <w:tc>
          <w:tcPr>
            <w:shd w:val="clear" w:color="000000" w:fill="ffffff"/>
            <w:tcW w:w="862" w:type="dxa"/>
            <w:vAlign w:val="center"/>
            <w:vMerge w:val="restart"/>
            <w:textDirection w:val="lrTb"/>
            <w:noWrap/>
          </w:tcPr>
          <w:p>
            <w:pPr>
              <w:ind w:left="0"/>
              <w:jc w:val="center"/>
              <w:spacing w:line="360" w:lineRule="auto"/>
              <w:tabs>
                <w:tab w:val="left" w:pos="420" w:leader="none"/>
                <w:tab w:val="left" w:pos="540" w:leader="none"/>
              </w:tabs>
              <w:rPr>
                <w:rFonts w:ascii="宋体" w:hAnsi="宋体"/>
                <w:b/>
                <w:sz w:val="21"/>
              </w:rPr>
            </w:pPr>
            <w:r>
              <w:rPr>
                <w:rFonts w:hint="eastAsia" w:ascii="宋体" w:hAnsi="宋体"/>
                <w:b/>
                <w:sz w:val="21"/>
              </w:rPr>
              <w:t xml:space="preserve">硬件</w:t>
            </w:r>
            <w:r/>
          </w:p>
        </w:tc>
        <w:tc>
          <w:tcPr>
            <w:shd w:val="clear" w:color="000000" w:fill="ffffff"/>
            <w:tcW w:w="183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基本架构和技术原理</w:t>
            </w:r>
            <w:r/>
          </w:p>
        </w:tc>
        <w:tc>
          <w:tcPr>
            <w:shd w:val="clear" w:color="000000" w:fill="ffffff"/>
            <w:tcW w:w="65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培训/维护保养。</w:t>
            </w:r>
            <w:r/>
          </w:p>
        </w:tc>
      </w:tr>
      <w:tr>
        <w:trPr>
          <w:trHeight w:val="90"/>
        </w:trPr>
        <w:tc>
          <w:tcPr>
            <w:shd w:val="clear" w:color="000000" w:fill="ffffff"/>
            <w:tcW w:w="427" w:type="dxa"/>
            <w:vAlign w:val="center"/>
            <w:textDirection w:val="lrTb"/>
            <w:noWrap/>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3</w:t>
            </w:r>
            <w:r/>
          </w:p>
        </w:tc>
        <w:tc>
          <w:tcPr>
            <w:shd w:val="clear" w:color="auto" w:fill="auto"/>
            <w:tcW w:w="862" w:type="dxa"/>
            <w:vAlign w:val="center"/>
            <w:vMerge w:val="continue"/>
            <w:textDirection w:val="lrTb"/>
            <w:noWrap w:val="false"/>
          </w:tcPr>
          <w:p>
            <w:pPr>
              <w:ind w:left="0"/>
              <w:spacing w:line="360" w:lineRule="auto"/>
              <w:tabs>
                <w:tab w:val="left" w:pos="420" w:leader="none"/>
                <w:tab w:val="left" w:pos="540" w:leader="none"/>
              </w:tabs>
              <w:rPr>
                <w:rFonts w:ascii="宋体" w:hAnsi="宋体"/>
                <w:sz w:val="21"/>
              </w:rPr>
            </w:pPr>
            <w:r>
              <w:rPr>
                <w:rFonts w:ascii="宋体" w:hAnsi="宋体"/>
                <w:sz w:val="21"/>
              </w:rPr>
            </w:r>
            <w:r/>
          </w:p>
        </w:tc>
        <w:tc>
          <w:tcPr>
            <w:shd w:val="clear" w:color="000000" w:fill="ffffff"/>
            <w:tcW w:w="183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电机</w:t>
            </w:r>
            <w:r/>
          </w:p>
        </w:tc>
        <w:tc>
          <w:tcPr>
            <w:shd w:val="clear" w:color="000000" w:fill="ffffff"/>
            <w:tcW w:w="65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品牌：Maxon，负责长期使用过程中的维护保养和有问题损坏的更换安装维护。</w:t>
            </w:r>
            <w:r/>
          </w:p>
        </w:tc>
      </w:tr>
      <w:tr>
        <w:trPr>
          <w:trHeight w:val="495"/>
        </w:trPr>
        <w:tc>
          <w:tcPr>
            <w:shd w:val="clear" w:color="000000" w:fill="ffffff"/>
            <w:tcW w:w="427" w:type="dxa"/>
            <w:vAlign w:val="center"/>
            <w:textDirection w:val="lrTb"/>
            <w:noWrap/>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4</w:t>
            </w:r>
            <w:r/>
          </w:p>
        </w:tc>
        <w:tc>
          <w:tcPr>
            <w:shd w:val="clear" w:color="auto" w:fill="auto"/>
            <w:tcW w:w="862" w:type="dxa"/>
            <w:vAlign w:val="center"/>
            <w:vMerge w:val="continue"/>
            <w:textDirection w:val="lrTb"/>
            <w:noWrap w:val="false"/>
          </w:tcPr>
          <w:p>
            <w:pPr>
              <w:ind w:left="0"/>
              <w:spacing w:line="360" w:lineRule="auto"/>
              <w:tabs>
                <w:tab w:val="left" w:pos="420" w:leader="none"/>
                <w:tab w:val="left" w:pos="540" w:leader="none"/>
              </w:tabs>
              <w:rPr>
                <w:rFonts w:ascii="宋体" w:hAnsi="宋体"/>
                <w:sz w:val="21"/>
              </w:rPr>
            </w:pPr>
            <w:r>
              <w:rPr>
                <w:rFonts w:ascii="宋体" w:hAnsi="宋体"/>
                <w:sz w:val="21"/>
              </w:rPr>
            </w:r>
            <w:r/>
          </w:p>
        </w:tc>
        <w:tc>
          <w:tcPr>
            <w:shd w:val="clear" w:color="000000" w:fill="ffffff"/>
            <w:tcW w:w="183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脚轮</w:t>
            </w:r>
            <w:r/>
          </w:p>
        </w:tc>
        <w:tc>
          <w:tcPr>
            <w:shd w:val="clear" w:color="000000" w:fill="ffffff"/>
            <w:tcW w:w="65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品牌：Blickle，负责长期使用过程中的维护保养和有问题损坏的更换安装维护。</w:t>
            </w:r>
            <w:r/>
          </w:p>
        </w:tc>
      </w:tr>
      <w:tr>
        <w:trPr>
          <w:trHeight w:val="495"/>
        </w:trPr>
        <w:tc>
          <w:tcPr>
            <w:shd w:val="clear" w:color="000000" w:fill="ffffff"/>
            <w:tcW w:w="427" w:type="dxa"/>
            <w:vAlign w:val="center"/>
            <w:textDirection w:val="lrTb"/>
            <w:noWrap/>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5</w:t>
            </w:r>
            <w:r/>
          </w:p>
        </w:tc>
        <w:tc>
          <w:tcPr>
            <w:shd w:val="clear" w:color="auto" w:fill="auto"/>
            <w:tcW w:w="862" w:type="dxa"/>
            <w:vAlign w:val="center"/>
            <w:vMerge w:val="continue"/>
            <w:textDirection w:val="lrTb"/>
            <w:noWrap w:val="false"/>
          </w:tcPr>
          <w:p>
            <w:pPr>
              <w:ind w:left="0"/>
              <w:spacing w:line="360" w:lineRule="auto"/>
              <w:tabs>
                <w:tab w:val="left" w:pos="420" w:leader="none"/>
                <w:tab w:val="left" w:pos="540" w:leader="none"/>
              </w:tabs>
              <w:rPr>
                <w:rFonts w:ascii="宋体" w:hAnsi="宋体"/>
                <w:sz w:val="21"/>
              </w:rPr>
            </w:pPr>
            <w:r>
              <w:rPr>
                <w:rFonts w:ascii="宋体" w:hAnsi="宋体"/>
                <w:sz w:val="21"/>
              </w:rPr>
            </w:r>
            <w:r/>
          </w:p>
        </w:tc>
        <w:tc>
          <w:tcPr>
            <w:shd w:val="clear" w:color="000000" w:fill="ffffff"/>
            <w:tcW w:w="183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摄像头</w:t>
            </w:r>
            <w:r/>
          </w:p>
        </w:tc>
        <w:tc>
          <w:tcPr>
            <w:shd w:val="clear" w:color="000000" w:fill="ffffff"/>
            <w:tcW w:w="65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1080P，负责长期使用过程中的维护保养和有问题损坏的更换安装维护。</w:t>
            </w:r>
            <w:r/>
          </w:p>
        </w:tc>
      </w:tr>
      <w:tr>
        <w:trPr>
          <w:trHeight w:val="495"/>
        </w:trPr>
        <w:tc>
          <w:tcPr>
            <w:shd w:val="clear" w:color="000000" w:fill="ffffff"/>
            <w:tcW w:w="427" w:type="dxa"/>
            <w:vAlign w:val="center"/>
            <w:textDirection w:val="lrTb"/>
            <w:noWrap/>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6</w:t>
            </w:r>
            <w:r/>
          </w:p>
        </w:tc>
        <w:tc>
          <w:tcPr>
            <w:shd w:val="clear" w:color="auto" w:fill="auto"/>
            <w:tcW w:w="862" w:type="dxa"/>
            <w:vAlign w:val="center"/>
            <w:vMerge w:val="continue"/>
            <w:textDirection w:val="lrTb"/>
            <w:noWrap w:val="false"/>
          </w:tcPr>
          <w:p>
            <w:pPr>
              <w:ind w:left="0"/>
              <w:spacing w:line="360" w:lineRule="auto"/>
              <w:tabs>
                <w:tab w:val="left" w:pos="420" w:leader="none"/>
                <w:tab w:val="left" w:pos="540" w:leader="none"/>
              </w:tabs>
              <w:rPr>
                <w:rFonts w:ascii="宋体" w:hAnsi="宋体"/>
                <w:sz w:val="21"/>
              </w:rPr>
            </w:pPr>
            <w:r>
              <w:rPr>
                <w:rFonts w:ascii="宋体" w:hAnsi="宋体"/>
                <w:sz w:val="21"/>
              </w:rPr>
            </w:r>
            <w:r/>
          </w:p>
        </w:tc>
        <w:tc>
          <w:tcPr>
            <w:shd w:val="clear" w:color="000000" w:fill="ffffff"/>
            <w:tcW w:w="183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显示屏</w:t>
            </w:r>
            <w:r/>
          </w:p>
        </w:tc>
        <w:tc>
          <w:tcPr>
            <w:shd w:val="clear" w:color="000000" w:fill="ffffff"/>
            <w:tcW w:w="65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17.3in</w:t>
            </w:r>
            <w:r>
              <w:rPr>
                <w:rFonts w:ascii="宋体" w:hAnsi="宋体"/>
                <w:sz w:val="21"/>
              </w:rPr>
              <w:t xml:space="preserve"> </w:t>
            </w:r>
            <w:r>
              <w:rPr>
                <w:rFonts w:hint="eastAsia" w:ascii="宋体" w:hAnsi="宋体"/>
                <w:sz w:val="21"/>
              </w:rPr>
              <w:t xml:space="preserve">1080P，负责长期使用过程中的维护保养和有问题损坏的更换安装维护。</w:t>
            </w:r>
            <w:r/>
          </w:p>
        </w:tc>
      </w:tr>
      <w:tr>
        <w:trPr>
          <w:trHeight w:val="835"/>
        </w:trPr>
        <w:tc>
          <w:tcPr>
            <w:shd w:val="clear" w:color="000000" w:fill="ffffff"/>
            <w:tcW w:w="427" w:type="dxa"/>
            <w:vAlign w:val="center"/>
            <w:textDirection w:val="lrTb"/>
            <w:noWrap/>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7</w:t>
            </w:r>
            <w:r/>
          </w:p>
        </w:tc>
        <w:tc>
          <w:tcPr>
            <w:shd w:val="clear" w:color="000000" w:fill="ffffff"/>
            <w:tcW w:w="862" w:type="dxa"/>
            <w:vAlign w:val="center"/>
            <w:vMerge w:val="restart"/>
            <w:textDirection w:val="lrTb"/>
            <w:noWrap/>
          </w:tcPr>
          <w:p>
            <w:pPr>
              <w:ind w:left="0"/>
              <w:jc w:val="center"/>
              <w:spacing w:line="360" w:lineRule="auto"/>
              <w:tabs>
                <w:tab w:val="left" w:pos="420" w:leader="none"/>
                <w:tab w:val="left" w:pos="540" w:leader="none"/>
              </w:tabs>
              <w:rPr>
                <w:rFonts w:ascii="宋体" w:hAnsi="宋体"/>
                <w:b/>
                <w:sz w:val="21"/>
              </w:rPr>
            </w:pPr>
            <w:r>
              <w:rPr>
                <w:rFonts w:hint="eastAsia" w:ascii="宋体" w:hAnsi="宋体"/>
                <w:b/>
                <w:sz w:val="21"/>
              </w:rPr>
              <w:t xml:space="preserve">软件</w:t>
            </w:r>
            <w:r/>
          </w:p>
        </w:tc>
        <w:tc>
          <w:tcPr>
            <w:shd w:val="clear" w:color="000000" w:fill="ffffff"/>
            <w:tcW w:w="183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RCS系统维护</w:t>
            </w:r>
            <w:r/>
          </w:p>
        </w:tc>
        <w:tc>
          <w:tcPr>
            <w:shd w:val="clear" w:color="000000" w:fill="ffffff"/>
            <w:tcW w:w="65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实时路径规划，交通管理，地图维护（更新，编辑，导入），实时监控，变更智能服务机器人命令优先级，对向车道借用，实时上传路径</w:t>
            </w:r>
            <w:r>
              <w:rPr>
                <w:rFonts w:hint="eastAsia" w:ascii="宋体" w:hAnsi="宋体"/>
                <w:sz w:val="21"/>
              </w:rPr>
              <w:t xml:space="preserve">点位信息。智能服务机器人&amp;RCS间通信协议开放，智能服务机器人可以被第三方系统调度。服务过程中匹配相关需求。</w:t>
            </w:r>
            <w:r/>
          </w:p>
        </w:tc>
      </w:tr>
      <w:tr>
        <w:trPr>
          <w:trHeight w:val="555"/>
        </w:trPr>
        <w:tc>
          <w:tcPr>
            <w:shd w:val="clear" w:color="000000" w:fill="ffffff"/>
            <w:tcW w:w="427" w:type="dxa"/>
            <w:vAlign w:val="center"/>
            <w:textDirection w:val="lrTb"/>
            <w:noWrap/>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8</w:t>
            </w:r>
            <w:r/>
          </w:p>
        </w:tc>
        <w:tc>
          <w:tcPr>
            <w:shd w:val="clear" w:color="auto" w:fill="auto"/>
            <w:tcW w:w="862" w:type="dxa"/>
            <w:vAlign w:val="center"/>
            <w:vMerge w:val="continue"/>
            <w:textDirection w:val="lrTb"/>
            <w:noWrap w:val="false"/>
          </w:tcPr>
          <w:p>
            <w:pPr>
              <w:ind w:left="0"/>
              <w:spacing w:line="360" w:lineRule="auto"/>
              <w:tabs>
                <w:tab w:val="left" w:pos="420" w:leader="none"/>
                <w:tab w:val="left" w:pos="540" w:leader="none"/>
              </w:tabs>
              <w:rPr>
                <w:rFonts w:ascii="宋体" w:hAnsi="宋体"/>
                <w:sz w:val="21"/>
              </w:rPr>
            </w:pPr>
            <w:r>
              <w:rPr>
                <w:rFonts w:ascii="宋体" w:hAnsi="宋体"/>
                <w:sz w:val="21"/>
              </w:rPr>
            </w:r>
            <w:r/>
          </w:p>
        </w:tc>
        <w:tc>
          <w:tcPr>
            <w:shd w:val="clear" w:color="000000" w:fill="ffffff"/>
            <w:tcW w:w="183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UI界面操作系统维护</w:t>
            </w:r>
            <w:r/>
          </w:p>
        </w:tc>
        <w:tc>
          <w:tcPr>
            <w:shd w:val="clear" w:color="000000" w:fill="ffffff"/>
            <w:tcW w:w="65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UI操作界面操作方法培训，相关日常维护保养方法与注意事项。</w:t>
            </w:r>
            <w:r/>
          </w:p>
        </w:tc>
      </w:tr>
      <w:tr>
        <w:trPr>
          <w:trHeight w:val="1050"/>
        </w:trPr>
        <w:tc>
          <w:tcPr>
            <w:shd w:val="clear" w:color="000000" w:fill="ffffff"/>
            <w:tcW w:w="427" w:type="dxa"/>
            <w:vAlign w:val="center"/>
            <w:textDirection w:val="lrTb"/>
            <w:noWrap/>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9</w:t>
            </w:r>
            <w:r/>
          </w:p>
        </w:tc>
        <w:tc>
          <w:tcPr>
            <w:shd w:val="clear" w:color="auto" w:fill="auto"/>
            <w:tcW w:w="862" w:type="dxa"/>
            <w:vAlign w:val="center"/>
            <w:vMerge w:val="continue"/>
            <w:textDirection w:val="lrTb"/>
            <w:noWrap w:val="false"/>
          </w:tcPr>
          <w:p>
            <w:pPr>
              <w:ind w:left="0"/>
              <w:spacing w:line="360" w:lineRule="auto"/>
              <w:tabs>
                <w:tab w:val="left" w:pos="420" w:leader="none"/>
                <w:tab w:val="left" w:pos="540" w:leader="none"/>
              </w:tabs>
              <w:rPr>
                <w:rFonts w:ascii="宋体" w:hAnsi="宋体"/>
                <w:sz w:val="21"/>
              </w:rPr>
            </w:pPr>
            <w:r>
              <w:rPr>
                <w:rFonts w:ascii="宋体" w:hAnsi="宋体"/>
                <w:sz w:val="21"/>
              </w:rPr>
            </w:r>
            <w:r/>
          </w:p>
        </w:tc>
        <w:tc>
          <w:tcPr>
            <w:shd w:val="clear" w:color="000000" w:fill="ffffff"/>
            <w:tcW w:w="183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异常情况处理</w:t>
            </w:r>
            <w:r/>
          </w:p>
        </w:tc>
        <w:tc>
          <w:tcPr>
            <w:shd w:val="clear" w:color="000000" w:fill="ffffff"/>
            <w:tcW w:w="65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操作人员可以通过软件实时查验机器人运行状态、路径规划、环境、任务、报警等信息。处理并培训。</w:t>
            </w:r>
            <w:r/>
          </w:p>
        </w:tc>
      </w:tr>
      <w:tr>
        <w:trPr>
          <w:trHeight w:val="555"/>
        </w:trPr>
        <w:tc>
          <w:tcPr>
            <w:shd w:val="clear" w:color="000000" w:fill="ffffff"/>
            <w:tcW w:w="427" w:type="dxa"/>
            <w:vAlign w:val="center"/>
            <w:textDirection w:val="lrTb"/>
            <w:noWrap/>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10</w:t>
            </w:r>
            <w:r/>
          </w:p>
        </w:tc>
        <w:tc>
          <w:tcPr>
            <w:shd w:val="clear" w:color="auto" w:fill="auto"/>
            <w:tcW w:w="862" w:type="dxa"/>
            <w:vAlign w:val="center"/>
            <w:vMerge w:val="continue"/>
            <w:textDirection w:val="lrTb"/>
            <w:noWrap w:val="false"/>
          </w:tcPr>
          <w:p>
            <w:pPr>
              <w:ind w:left="0"/>
              <w:spacing w:line="360" w:lineRule="auto"/>
              <w:tabs>
                <w:tab w:val="left" w:pos="420" w:leader="none"/>
                <w:tab w:val="left" w:pos="540" w:leader="none"/>
              </w:tabs>
              <w:rPr>
                <w:rFonts w:ascii="宋体" w:hAnsi="宋体"/>
                <w:sz w:val="21"/>
              </w:rPr>
            </w:pPr>
            <w:r>
              <w:rPr>
                <w:rFonts w:ascii="宋体" w:hAnsi="宋体"/>
                <w:sz w:val="21"/>
              </w:rPr>
            </w:r>
            <w:r/>
          </w:p>
        </w:tc>
        <w:tc>
          <w:tcPr>
            <w:shd w:val="clear" w:color="000000" w:fill="ffffff"/>
            <w:tcW w:w="183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充电</w:t>
            </w:r>
            <w:r/>
          </w:p>
        </w:tc>
        <w:tc>
          <w:tcPr>
            <w:shd w:val="clear" w:color="000000" w:fill="ffffff"/>
            <w:tcW w:w="65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支持自动充电，充电桩自带BMS系统维护。</w:t>
            </w:r>
            <w:r/>
          </w:p>
        </w:tc>
      </w:tr>
      <w:tr>
        <w:trPr>
          <w:trHeight w:val="555"/>
        </w:trPr>
        <w:tc>
          <w:tcPr>
            <w:shd w:val="clear" w:color="000000" w:fill="ffffff"/>
            <w:tcW w:w="427" w:type="dxa"/>
            <w:vAlign w:val="center"/>
            <w:textDirection w:val="lrTb"/>
            <w:noWrap/>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11</w:t>
            </w:r>
            <w:r/>
          </w:p>
        </w:tc>
        <w:tc>
          <w:tcPr>
            <w:shd w:val="clear" w:color="auto" w:fill="auto"/>
            <w:tcW w:w="862" w:type="dxa"/>
            <w:vAlign w:val="center"/>
            <w:vMerge w:val="continue"/>
            <w:textDirection w:val="lrTb"/>
            <w:noWrap w:val="false"/>
          </w:tcPr>
          <w:p>
            <w:pPr>
              <w:ind w:left="0"/>
              <w:spacing w:line="360" w:lineRule="auto"/>
              <w:tabs>
                <w:tab w:val="left" w:pos="420" w:leader="none"/>
                <w:tab w:val="left" w:pos="540" w:leader="none"/>
              </w:tabs>
              <w:rPr>
                <w:rFonts w:ascii="宋体" w:hAnsi="宋体"/>
                <w:sz w:val="21"/>
              </w:rPr>
            </w:pPr>
            <w:r>
              <w:rPr>
                <w:rFonts w:ascii="宋体" w:hAnsi="宋体"/>
                <w:sz w:val="21"/>
              </w:rPr>
            </w:r>
            <w:r/>
          </w:p>
        </w:tc>
        <w:tc>
          <w:tcPr>
            <w:shd w:val="clear" w:color="000000" w:fill="ffffff"/>
            <w:tcW w:w="183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断网提示</w:t>
            </w:r>
            <w:r/>
          </w:p>
        </w:tc>
        <w:tc>
          <w:tcPr>
            <w:shd w:val="clear" w:color="000000" w:fill="ffffff"/>
            <w:tcW w:w="65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网络掉线重连失败在监控软件操作界面实时显示并闪烁提醒维护。</w:t>
            </w:r>
            <w:r/>
          </w:p>
        </w:tc>
      </w:tr>
      <w:tr>
        <w:trPr>
          <w:trHeight w:val="705"/>
        </w:trPr>
        <w:tc>
          <w:tcPr>
            <w:shd w:val="clear" w:color="000000" w:fill="ffffff"/>
            <w:tcW w:w="427" w:type="dxa"/>
            <w:vAlign w:val="center"/>
            <w:textDirection w:val="lrTb"/>
            <w:noWrap/>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12</w:t>
            </w:r>
            <w:r/>
          </w:p>
        </w:tc>
        <w:tc>
          <w:tcPr>
            <w:shd w:val="clear" w:color="auto" w:fill="auto"/>
            <w:tcW w:w="862" w:type="dxa"/>
            <w:vAlign w:val="center"/>
            <w:vMerge w:val="continue"/>
            <w:textDirection w:val="lrTb"/>
            <w:noWrap w:val="false"/>
          </w:tcPr>
          <w:p>
            <w:pPr>
              <w:ind w:left="0"/>
              <w:spacing w:line="360" w:lineRule="auto"/>
              <w:tabs>
                <w:tab w:val="left" w:pos="420" w:leader="none"/>
                <w:tab w:val="left" w:pos="540" w:leader="none"/>
              </w:tabs>
              <w:rPr>
                <w:rFonts w:ascii="宋体" w:hAnsi="宋体"/>
                <w:sz w:val="21"/>
              </w:rPr>
            </w:pPr>
            <w:r>
              <w:rPr>
                <w:rFonts w:ascii="宋体" w:hAnsi="宋体"/>
                <w:sz w:val="21"/>
              </w:rPr>
            </w:r>
            <w:r/>
          </w:p>
        </w:tc>
        <w:tc>
          <w:tcPr>
            <w:shd w:val="clear" w:color="000000" w:fill="ffffff"/>
            <w:tcW w:w="183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充电桩一键启用及关闭功能</w:t>
            </w:r>
            <w:r/>
          </w:p>
        </w:tc>
        <w:tc>
          <w:tcPr>
            <w:shd w:val="clear" w:color="000000" w:fill="ffffff"/>
            <w:tcW w:w="65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充电桩一键启用及关闭功能维护。</w:t>
            </w:r>
            <w:r/>
          </w:p>
        </w:tc>
      </w:tr>
      <w:tr>
        <w:trPr>
          <w:trHeight w:val="555"/>
        </w:trPr>
        <w:tc>
          <w:tcPr>
            <w:shd w:val="clear" w:color="000000" w:fill="ffffff"/>
            <w:tcW w:w="427" w:type="dxa"/>
            <w:vAlign w:val="center"/>
            <w:textDirection w:val="lrTb"/>
            <w:noWrap/>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13</w:t>
            </w:r>
            <w:r/>
          </w:p>
        </w:tc>
        <w:tc>
          <w:tcPr>
            <w:shd w:val="clear" w:color="auto" w:fill="auto"/>
            <w:tcW w:w="862" w:type="dxa"/>
            <w:vAlign w:val="center"/>
            <w:vMerge w:val="continue"/>
            <w:textDirection w:val="lrTb"/>
            <w:noWrap w:val="false"/>
          </w:tcPr>
          <w:p>
            <w:pPr>
              <w:ind w:left="0"/>
              <w:spacing w:line="360" w:lineRule="auto"/>
              <w:tabs>
                <w:tab w:val="left" w:pos="420" w:leader="none"/>
                <w:tab w:val="left" w:pos="540" w:leader="none"/>
              </w:tabs>
              <w:rPr>
                <w:rFonts w:ascii="宋体" w:hAnsi="宋体"/>
                <w:sz w:val="21"/>
              </w:rPr>
            </w:pPr>
            <w:r>
              <w:rPr>
                <w:rFonts w:ascii="宋体" w:hAnsi="宋体"/>
                <w:sz w:val="21"/>
              </w:rPr>
            </w:r>
            <w:r/>
          </w:p>
        </w:tc>
        <w:tc>
          <w:tcPr>
            <w:shd w:val="clear" w:color="000000" w:fill="ffffff"/>
            <w:tcW w:w="183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手动生成充电命令</w:t>
            </w:r>
            <w:r/>
          </w:p>
        </w:tc>
        <w:tc>
          <w:tcPr>
            <w:shd w:val="clear" w:color="000000" w:fill="ffffff"/>
            <w:tcW w:w="65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手动生成智能服务机器人到指定充电桩充电命令。</w:t>
            </w:r>
            <w:r/>
          </w:p>
        </w:tc>
      </w:tr>
      <w:tr>
        <w:trPr>
          <w:trHeight w:val="555"/>
        </w:trPr>
        <w:tc>
          <w:tcPr>
            <w:shd w:val="clear" w:color="000000" w:fill="ffffff"/>
            <w:tcW w:w="427" w:type="dxa"/>
            <w:vAlign w:val="center"/>
            <w:textDirection w:val="lrTb"/>
            <w:noWrap/>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14</w:t>
            </w:r>
            <w:r/>
          </w:p>
        </w:tc>
        <w:tc>
          <w:tcPr>
            <w:shd w:val="clear" w:color="auto" w:fill="auto"/>
            <w:tcW w:w="862" w:type="dxa"/>
            <w:vAlign w:val="center"/>
            <w:vMerge w:val="continue"/>
            <w:textDirection w:val="lrTb"/>
            <w:noWrap w:val="false"/>
          </w:tcPr>
          <w:p>
            <w:pPr>
              <w:ind w:left="0"/>
              <w:spacing w:line="360" w:lineRule="auto"/>
              <w:tabs>
                <w:tab w:val="left" w:pos="420" w:leader="none"/>
                <w:tab w:val="left" w:pos="540" w:leader="none"/>
              </w:tabs>
              <w:rPr>
                <w:rFonts w:ascii="宋体" w:hAnsi="宋体"/>
                <w:sz w:val="21"/>
              </w:rPr>
            </w:pPr>
            <w:r>
              <w:rPr>
                <w:rFonts w:ascii="宋体" w:hAnsi="宋体"/>
                <w:sz w:val="21"/>
              </w:rPr>
            </w:r>
            <w:r/>
          </w:p>
        </w:tc>
        <w:tc>
          <w:tcPr>
            <w:shd w:val="clear" w:color="000000" w:fill="ffffff"/>
            <w:tcW w:w="183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远程操作</w:t>
            </w:r>
            <w:r/>
          </w:p>
        </w:tc>
        <w:tc>
          <w:tcPr>
            <w:shd w:val="clear" w:color="000000" w:fill="ffffff"/>
            <w:tcW w:w="65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部署完成后可以通过5G移动网络远程操作机器人维护。</w:t>
            </w:r>
            <w:r/>
          </w:p>
        </w:tc>
      </w:tr>
      <w:tr>
        <w:trPr>
          <w:trHeight w:val="555"/>
        </w:trPr>
        <w:tc>
          <w:tcPr>
            <w:shd w:val="clear" w:color="000000" w:fill="ffffff"/>
            <w:tcW w:w="427" w:type="dxa"/>
            <w:vAlign w:val="center"/>
            <w:textDirection w:val="lrTb"/>
            <w:noWrap/>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15</w:t>
            </w:r>
            <w:r/>
          </w:p>
        </w:tc>
        <w:tc>
          <w:tcPr>
            <w:shd w:val="clear" w:color="auto" w:fill="auto"/>
            <w:tcW w:w="862" w:type="dxa"/>
            <w:vAlign w:val="center"/>
            <w:vMerge w:val="continue"/>
            <w:textDirection w:val="lrTb"/>
            <w:noWrap w:val="false"/>
          </w:tcPr>
          <w:p>
            <w:pPr>
              <w:ind w:left="0"/>
              <w:spacing w:line="360" w:lineRule="auto"/>
              <w:tabs>
                <w:tab w:val="left" w:pos="420" w:leader="none"/>
                <w:tab w:val="left" w:pos="540" w:leader="none"/>
              </w:tabs>
              <w:rPr>
                <w:rFonts w:ascii="宋体" w:hAnsi="宋体"/>
                <w:sz w:val="21"/>
              </w:rPr>
            </w:pPr>
            <w:r>
              <w:rPr>
                <w:rFonts w:ascii="宋体" w:hAnsi="宋体"/>
                <w:sz w:val="21"/>
              </w:rPr>
            </w:r>
            <w:r/>
          </w:p>
        </w:tc>
        <w:tc>
          <w:tcPr>
            <w:shd w:val="clear" w:color="000000" w:fill="ffffff"/>
            <w:tcW w:w="183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实时视频显示</w:t>
            </w:r>
            <w:r/>
          </w:p>
        </w:tc>
        <w:tc>
          <w:tcPr>
            <w:shd w:val="clear" w:color="000000" w:fill="ffffff"/>
            <w:tcW w:w="65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机器人机载摄像头实时视频推流，服务器端集中显示多个监控摄像头画面维护。</w:t>
            </w:r>
            <w:r/>
          </w:p>
        </w:tc>
      </w:tr>
      <w:tr>
        <w:trPr>
          <w:trHeight w:val="555"/>
        </w:trPr>
        <w:tc>
          <w:tcPr>
            <w:shd w:val="clear" w:color="000000" w:fill="ffffff"/>
            <w:tcW w:w="427" w:type="dxa"/>
            <w:vAlign w:val="center"/>
            <w:textDirection w:val="lrTb"/>
            <w:noWrap/>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16</w:t>
            </w:r>
            <w:r/>
          </w:p>
        </w:tc>
        <w:tc>
          <w:tcPr>
            <w:shd w:val="clear" w:color="auto" w:fill="auto"/>
            <w:tcW w:w="862" w:type="dxa"/>
            <w:vAlign w:val="center"/>
            <w:vMerge w:val="continue"/>
            <w:textDirection w:val="lrTb"/>
            <w:noWrap w:val="false"/>
          </w:tcPr>
          <w:p>
            <w:pPr>
              <w:ind w:left="0"/>
              <w:spacing w:line="360" w:lineRule="auto"/>
              <w:tabs>
                <w:tab w:val="left" w:pos="420" w:leader="none"/>
                <w:tab w:val="left" w:pos="540" w:leader="none"/>
              </w:tabs>
              <w:rPr>
                <w:rFonts w:ascii="宋体" w:hAnsi="宋体"/>
                <w:sz w:val="21"/>
              </w:rPr>
            </w:pPr>
            <w:r>
              <w:rPr>
                <w:rFonts w:ascii="宋体" w:hAnsi="宋体"/>
                <w:sz w:val="21"/>
              </w:rPr>
            </w:r>
            <w:r/>
          </w:p>
        </w:tc>
        <w:tc>
          <w:tcPr>
            <w:shd w:val="clear" w:color="000000" w:fill="ffffff"/>
            <w:tcW w:w="183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地图编辑</w:t>
            </w:r>
            <w:r/>
          </w:p>
        </w:tc>
        <w:tc>
          <w:tcPr>
            <w:shd w:val="clear" w:color="000000" w:fill="ffffff"/>
            <w:tcW w:w="65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地图的编辑的详细的使用方法。</w:t>
            </w:r>
            <w:r/>
          </w:p>
        </w:tc>
      </w:tr>
      <w:tr>
        <w:trPr>
          <w:trHeight w:val="868"/>
        </w:trPr>
        <w:tc>
          <w:tcPr>
            <w:shd w:val="clear" w:color="000000" w:fill="ffffff"/>
            <w:tcW w:w="427" w:type="dxa"/>
            <w:vAlign w:val="center"/>
            <w:textDirection w:val="lrTb"/>
            <w:noWrap/>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17</w:t>
            </w:r>
            <w:r/>
          </w:p>
        </w:tc>
        <w:tc>
          <w:tcPr>
            <w:shd w:val="clear" w:color="auto" w:fill="auto"/>
            <w:tcW w:w="862" w:type="dxa"/>
            <w:vAlign w:val="center"/>
            <w:vMerge w:val="continue"/>
            <w:textDirection w:val="lrTb"/>
            <w:noWrap w:val="false"/>
          </w:tcPr>
          <w:p>
            <w:pPr>
              <w:ind w:left="0"/>
              <w:spacing w:line="360" w:lineRule="auto"/>
              <w:tabs>
                <w:tab w:val="left" w:pos="420" w:leader="none"/>
                <w:tab w:val="left" w:pos="540" w:leader="none"/>
              </w:tabs>
              <w:rPr>
                <w:rFonts w:ascii="宋体" w:hAnsi="宋体"/>
                <w:sz w:val="21"/>
              </w:rPr>
            </w:pPr>
            <w:r>
              <w:rPr>
                <w:rFonts w:ascii="宋体" w:hAnsi="宋体"/>
                <w:sz w:val="21"/>
              </w:rPr>
            </w:r>
            <w:r/>
          </w:p>
        </w:tc>
        <w:tc>
          <w:tcPr>
            <w:shd w:val="clear" w:color="000000" w:fill="ffffff"/>
            <w:tcW w:w="183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响应时效</w:t>
            </w:r>
            <w:r/>
          </w:p>
        </w:tc>
        <w:tc>
          <w:tcPr>
            <w:shd w:val="clear" w:color="000000" w:fill="ffffff"/>
            <w:tcW w:w="65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耗材零配件免费更换。7*24小时技术服务，</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提供24小时内维护工程师随叫随到服务。</w:t>
            </w:r>
            <w:r/>
          </w:p>
        </w:tc>
      </w:tr>
    </w:tbl>
    <w:p>
      <w:pPr>
        <w:ind w:left="0" w:firstLine="420"/>
        <w:spacing w:line="360" w:lineRule="auto"/>
        <w:tabs>
          <w:tab w:val="left" w:pos="420" w:leader="none"/>
          <w:tab w:val="left" w:pos="540" w:leader="none"/>
        </w:tabs>
        <w:rPr>
          <w:rFonts w:ascii="宋体" w:hAnsi="宋体"/>
          <w:sz w:val="21"/>
        </w:rPr>
      </w:pPr>
      <w:r>
        <w:rPr>
          <w:rFonts w:ascii="宋体" w:hAnsi="宋体"/>
          <w:sz w:val="21"/>
        </w:rPr>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（3）场馆内鼠标展线项目自动化设备服务要求，需委派常驻专业工程师2人：</w:t>
      </w:r>
      <w:r/>
    </w:p>
    <w:tbl>
      <w:tblPr>
        <w:tblW w:w="9639"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425"/>
        <w:gridCol w:w="701"/>
        <w:gridCol w:w="2134"/>
        <w:gridCol w:w="4820"/>
        <w:gridCol w:w="1559"/>
      </w:tblGrid>
      <w:tr>
        <w:trPr>
          <w:trHeight w:val="565"/>
        </w:trPr>
        <w:tc>
          <w:tcPr>
            <w:tcMar>
              <w:left w:w="15" w:type="dxa"/>
              <w:top w:w="15" w:type="dxa"/>
              <w:right w:w="15" w:type="dxa"/>
            </w:tcMar>
            <w:tcW w:w="425" w:type="dxa"/>
            <w:vAlign w:val="center"/>
            <w:textDirection w:val="lrTb"/>
            <w:noWrap w:val="false"/>
          </w:tcPr>
          <w:p>
            <w:pPr>
              <w:ind w:left="0"/>
              <w:jc w:val="center"/>
              <w:spacing w:line="360" w:lineRule="auto"/>
              <w:tabs>
                <w:tab w:val="left" w:pos="420" w:leader="none"/>
                <w:tab w:val="left" w:pos="540" w:leader="none"/>
              </w:tabs>
              <w:rPr>
                <w:rFonts w:ascii="宋体" w:hAnsi="宋体"/>
                <w:b/>
                <w:sz w:val="21"/>
              </w:rPr>
            </w:pPr>
            <w:r>
              <w:rPr>
                <w:rFonts w:hint="eastAsia" w:ascii="宋体" w:hAnsi="宋体"/>
                <w:b/>
                <w:sz w:val="21"/>
              </w:rPr>
              <w:t xml:space="preserve">序号</w:t>
            </w:r>
            <w:r/>
          </w:p>
        </w:tc>
        <w:tc>
          <w:tcPr>
            <w:gridSpan w:val="2"/>
            <w:tcMar>
              <w:left w:w="15" w:type="dxa"/>
              <w:top w:w="15" w:type="dxa"/>
              <w:right w:w="15" w:type="dxa"/>
            </w:tcMar>
            <w:tcW w:w="2835" w:type="dxa"/>
            <w:vAlign w:val="center"/>
            <w:textDirection w:val="lrTb"/>
            <w:noWrap w:val="false"/>
          </w:tcPr>
          <w:p>
            <w:pPr>
              <w:ind w:left="0"/>
              <w:jc w:val="center"/>
              <w:spacing w:line="360" w:lineRule="auto"/>
              <w:tabs>
                <w:tab w:val="left" w:pos="420" w:leader="none"/>
                <w:tab w:val="left" w:pos="540" w:leader="none"/>
              </w:tabs>
              <w:rPr>
                <w:rFonts w:ascii="宋体" w:hAnsi="宋体"/>
                <w:b/>
                <w:sz w:val="21"/>
              </w:rPr>
            </w:pPr>
            <w:r>
              <w:rPr>
                <w:rFonts w:hint="eastAsia" w:ascii="宋体" w:hAnsi="宋体"/>
                <w:b/>
                <w:sz w:val="21"/>
              </w:rPr>
              <w:t xml:space="preserve">设备</w:t>
            </w:r>
            <w:r/>
          </w:p>
        </w:tc>
        <w:tc>
          <w:tcPr>
            <w:tcMar>
              <w:left w:w="15" w:type="dxa"/>
              <w:top w:w="15" w:type="dxa"/>
              <w:right w:w="15" w:type="dxa"/>
            </w:tcMar>
            <w:tcW w:w="4820" w:type="dxa"/>
            <w:vAlign w:val="center"/>
            <w:textDirection w:val="lrTb"/>
            <w:noWrap w:val="false"/>
          </w:tcPr>
          <w:p>
            <w:pPr>
              <w:ind w:left="0"/>
              <w:jc w:val="center"/>
              <w:spacing w:line="360" w:lineRule="auto"/>
              <w:tabs>
                <w:tab w:val="left" w:pos="420" w:leader="none"/>
                <w:tab w:val="left" w:pos="540" w:leader="none"/>
              </w:tabs>
              <w:rPr>
                <w:rFonts w:ascii="宋体" w:hAnsi="宋体"/>
                <w:b/>
                <w:sz w:val="21"/>
              </w:rPr>
            </w:pPr>
            <w:r>
              <w:rPr>
                <w:rFonts w:hint="eastAsia" w:ascii="宋体" w:hAnsi="宋体"/>
                <w:b/>
                <w:sz w:val="21"/>
              </w:rPr>
              <w:t xml:space="preserve">服务内容</w:t>
            </w:r>
            <w:r/>
          </w:p>
        </w:tc>
        <w:tc>
          <w:tcPr>
            <w:tcMar>
              <w:left w:w="15" w:type="dxa"/>
              <w:top w:w="15" w:type="dxa"/>
              <w:right w:w="15" w:type="dxa"/>
            </w:tcMar>
            <w:tcW w:w="1559" w:type="dxa"/>
            <w:vAlign w:val="center"/>
            <w:textDirection w:val="lrTb"/>
            <w:noWrap w:val="false"/>
          </w:tcPr>
          <w:p>
            <w:pPr>
              <w:ind w:left="0"/>
              <w:jc w:val="center"/>
              <w:spacing w:line="360" w:lineRule="auto"/>
              <w:tabs>
                <w:tab w:val="left" w:pos="420" w:leader="none"/>
                <w:tab w:val="left" w:pos="540" w:leader="none"/>
              </w:tabs>
              <w:rPr>
                <w:rFonts w:ascii="宋体" w:hAnsi="宋体"/>
                <w:b/>
                <w:sz w:val="21"/>
              </w:rPr>
            </w:pPr>
            <w:r>
              <w:rPr>
                <w:rFonts w:hint="eastAsia" w:ascii="宋体" w:hAnsi="宋体"/>
                <w:b/>
                <w:sz w:val="21"/>
              </w:rPr>
              <w:t xml:space="preserve">服务要求</w:t>
            </w:r>
            <w:r/>
          </w:p>
        </w:tc>
      </w:tr>
      <w:tr>
        <w:trPr>
          <w:trHeight w:val="1020"/>
        </w:trPr>
        <w:tc>
          <w:tcPr>
            <w:tcMar>
              <w:left w:w="15" w:type="dxa"/>
              <w:top w:w="15" w:type="dxa"/>
              <w:right w:w="15" w:type="dxa"/>
            </w:tcMar>
            <w:tcW w:w="425"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1</w:t>
            </w:r>
            <w:r/>
          </w:p>
        </w:tc>
        <w:tc>
          <w:tcPr>
            <w:tcMar>
              <w:left w:w="15" w:type="dxa"/>
              <w:top w:w="15" w:type="dxa"/>
              <w:right w:w="15" w:type="dxa"/>
            </w:tcMar>
            <w:tcW w:w="701" w:type="dxa"/>
            <w:vAlign w:val="center"/>
            <w:vMerge w:val="restart"/>
            <w:textDirection w:val="lrTb"/>
            <w:noWrap w:val="false"/>
          </w:tcPr>
          <w:p>
            <w:pPr>
              <w:ind w:left="0"/>
              <w:jc w:val="center"/>
              <w:spacing w:line="360" w:lineRule="auto"/>
              <w:tabs>
                <w:tab w:val="left" w:pos="420" w:leader="none"/>
                <w:tab w:val="left" w:pos="540" w:leader="none"/>
              </w:tabs>
              <w:rPr>
                <w:rFonts w:ascii="宋体" w:hAnsi="宋体"/>
                <w:b/>
                <w:sz w:val="21"/>
              </w:rPr>
            </w:pPr>
            <w:r>
              <w:rPr>
                <w:rFonts w:hint="eastAsia" w:ascii="宋体" w:hAnsi="宋体"/>
                <w:b/>
                <w:sz w:val="21"/>
              </w:rPr>
              <w:t xml:space="preserve">现场支援</w:t>
            </w:r>
            <w:r/>
          </w:p>
        </w:tc>
        <w:tc>
          <w:tcPr>
            <w:tcMar>
              <w:left w:w="15" w:type="dxa"/>
              <w:top w:w="15" w:type="dxa"/>
              <w:right w:w="15" w:type="dxa"/>
            </w:tcMar>
            <w:tcW w:w="2134"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鼠标展线CASE上料及拆盖设备</w:t>
            </w:r>
            <w:r/>
          </w:p>
        </w:tc>
        <w:tc>
          <w:tcPr>
            <w:tcMar>
              <w:left w:w="15" w:type="dxa"/>
              <w:top w:w="15" w:type="dxa"/>
              <w:right w:w="15" w:type="dxa"/>
            </w:tcMar>
            <w:tcW w:w="48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设备点检，点检内容：拆盖旋转台组件、载具传送线组件、升降机组件、二次定位台组件、Tray定位组件、移动料仓组件、料仓组件、机械手组件、空tray回收组件、载具回流线组件。</w:t>
            </w:r>
            <w:r/>
          </w:p>
        </w:tc>
        <w:tc>
          <w:tcPr>
            <w:tcMar>
              <w:left w:w="15" w:type="dxa"/>
              <w:top w:w="15" w:type="dxa"/>
              <w:right w:w="15" w:type="dxa"/>
            </w:tcMar>
            <w:tcW w:w="1559" w:type="dxa"/>
            <w:vAlign w:val="center"/>
            <w:vMerge w:val="restart"/>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需委派常驻专业工程师（2人）现场协助处理。</w:t>
            </w:r>
            <w:r/>
          </w:p>
        </w:tc>
      </w:tr>
      <w:tr>
        <w:trPr>
          <w:trHeight w:val="1020"/>
        </w:trPr>
        <w:tc>
          <w:tcPr>
            <w:tcMar>
              <w:left w:w="15" w:type="dxa"/>
              <w:top w:w="15" w:type="dxa"/>
              <w:right w:w="15" w:type="dxa"/>
            </w:tcMar>
            <w:tcW w:w="425"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2</w:t>
            </w:r>
            <w:r/>
          </w:p>
        </w:tc>
        <w:tc>
          <w:tcPr>
            <w:tcMar>
              <w:left w:w="15" w:type="dxa"/>
              <w:top w:w="15" w:type="dxa"/>
              <w:right w:w="15" w:type="dxa"/>
            </w:tcMar>
            <w:tcW w:w="701" w:type="dxa"/>
            <w:vAlign w:val="center"/>
            <w:vMerge w:val="continue"/>
            <w:textDirection w:val="lrTb"/>
            <w:noWrap w:val="false"/>
          </w:tcPr>
          <w:p>
            <w:pPr>
              <w:ind w:left="0"/>
              <w:jc w:val="center"/>
              <w:spacing w:line="360" w:lineRule="auto"/>
              <w:tabs>
                <w:tab w:val="left" w:pos="420" w:leader="none"/>
                <w:tab w:val="left" w:pos="540" w:leader="none"/>
              </w:tabs>
              <w:rPr>
                <w:rFonts w:ascii="宋体" w:hAnsi="宋体"/>
                <w:b/>
                <w:sz w:val="21"/>
              </w:rPr>
            </w:pPr>
            <w:r>
              <w:rPr>
                <w:rFonts w:ascii="宋体" w:hAnsi="宋体"/>
                <w:b/>
                <w:sz w:val="21"/>
              </w:rPr>
            </w:r>
            <w:r/>
          </w:p>
        </w:tc>
        <w:tc>
          <w:tcPr>
            <w:tcMar>
              <w:left w:w="15" w:type="dxa"/>
              <w:top w:w="15" w:type="dxa"/>
              <w:right w:w="15" w:type="dxa"/>
            </w:tcMar>
            <w:tcW w:w="2134"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鼠标展线LENS上料及组装设备</w:t>
            </w:r>
            <w:r/>
          </w:p>
        </w:tc>
        <w:tc>
          <w:tcPr>
            <w:tcMar>
              <w:left w:w="15" w:type="dxa"/>
              <w:top w:w="15" w:type="dxa"/>
              <w:right w:w="15" w:type="dxa"/>
            </w:tcMar>
            <w:tcW w:w="48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设备点检，点检内容：载具传送线组件、二次定位台组件、Tray定位组件、移动料仓组件、料仓组件、机械手组件、空tray回收组件、载具回流线组件。</w:t>
            </w:r>
            <w:r/>
          </w:p>
        </w:tc>
        <w:tc>
          <w:tcPr>
            <w:tcMar>
              <w:left w:w="15" w:type="dxa"/>
              <w:top w:w="15" w:type="dxa"/>
              <w:right w:w="15" w:type="dxa"/>
            </w:tcMar>
            <w:tcW w:w="1559" w:type="dxa"/>
            <w:vAlign w:val="center"/>
            <w:vMerge w:val="continue"/>
            <w:textDirection w:val="lrTb"/>
            <w:noWrap w:val="false"/>
          </w:tcPr>
          <w:p>
            <w:pPr>
              <w:ind w:left="0"/>
              <w:spacing w:line="360" w:lineRule="auto"/>
              <w:tabs>
                <w:tab w:val="left" w:pos="420" w:leader="none"/>
                <w:tab w:val="left" w:pos="540" w:leader="none"/>
              </w:tabs>
              <w:rPr>
                <w:rFonts w:ascii="宋体" w:hAnsi="宋体"/>
                <w:sz w:val="21"/>
              </w:rPr>
            </w:pPr>
            <w:r>
              <w:rPr>
                <w:rFonts w:ascii="宋体" w:hAnsi="宋体"/>
                <w:sz w:val="21"/>
              </w:rPr>
            </w:r>
            <w:r/>
          </w:p>
        </w:tc>
      </w:tr>
      <w:tr>
        <w:trPr>
          <w:trHeight w:val="1020"/>
        </w:trPr>
        <w:tc>
          <w:tcPr>
            <w:tcMar>
              <w:left w:w="15" w:type="dxa"/>
              <w:top w:w="15" w:type="dxa"/>
              <w:right w:w="15" w:type="dxa"/>
            </w:tcMar>
            <w:tcW w:w="425"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3</w:t>
            </w:r>
            <w:r/>
          </w:p>
        </w:tc>
        <w:tc>
          <w:tcPr>
            <w:tcMar>
              <w:left w:w="15" w:type="dxa"/>
              <w:top w:w="15" w:type="dxa"/>
              <w:right w:w="15" w:type="dxa"/>
            </w:tcMar>
            <w:tcW w:w="701" w:type="dxa"/>
            <w:vAlign w:val="center"/>
            <w:vMerge w:val="continue"/>
            <w:textDirection w:val="lrTb"/>
            <w:noWrap w:val="false"/>
          </w:tcPr>
          <w:p>
            <w:pPr>
              <w:ind w:left="0"/>
              <w:jc w:val="center"/>
              <w:spacing w:line="360" w:lineRule="auto"/>
              <w:tabs>
                <w:tab w:val="left" w:pos="420" w:leader="none"/>
                <w:tab w:val="left" w:pos="540" w:leader="none"/>
              </w:tabs>
              <w:rPr>
                <w:rFonts w:ascii="宋体" w:hAnsi="宋体"/>
                <w:b/>
                <w:sz w:val="21"/>
              </w:rPr>
            </w:pPr>
            <w:r>
              <w:rPr>
                <w:rFonts w:ascii="宋体" w:hAnsi="宋体"/>
                <w:b/>
                <w:sz w:val="21"/>
              </w:rPr>
            </w:r>
            <w:r/>
          </w:p>
        </w:tc>
        <w:tc>
          <w:tcPr>
            <w:tcMar>
              <w:left w:w="15" w:type="dxa"/>
              <w:top w:w="15" w:type="dxa"/>
              <w:right w:w="15" w:type="dxa"/>
            </w:tcMar>
            <w:tcW w:w="2134"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鼠标展线开关上料及组装设备</w:t>
            </w:r>
            <w:r/>
          </w:p>
        </w:tc>
        <w:tc>
          <w:tcPr>
            <w:tcMar>
              <w:left w:w="15" w:type="dxa"/>
              <w:top w:w="15" w:type="dxa"/>
              <w:right w:w="15" w:type="dxa"/>
            </w:tcMar>
            <w:tcW w:w="48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设备点检，点检内容：载具传送线组件、二次定位台组件、Tray定位组件、移动料仓组件、料仓组件、机械手组件、空tray回收组件、载具回流线组件。</w:t>
            </w:r>
            <w:r/>
          </w:p>
        </w:tc>
        <w:tc>
          <w:tcPr>
            <w:tcMar>
              <w:left w:w="15" w:type="dxa"/>
              <w:top w:w="15" w:type="dxa"/>
              <w:right w:w="15" w:type="dxa"/>
            </w:tcMar>
            <w:tcW w:w="1559" w:type="dxa"/>
            <w:vAlign w:val="center"/>
            <w:vMerge w:val="continue"/>
            <w:textDirection w:val="lrTb"/>
            <w:noWrap w:val="false"/>
          </w:tcPr>
          <w:p>
            <w:pPr>
              <w:ind w:left="0"/>
              <w:spacing w:line="360" w:lineRule="auto"/>
              <w:tabs>
                <w:tab w:val="left" w:pos="420" w:leader="none"/>
                <w:tab w:val="left" w:pos="540" w:leader="none"/>
              </w:tabs>
              <w:rPr>
                <w:rFonts w:ascii="宋体" w:hAnsi="宋体"/>
                <w:sz w:val="21"/>
              </w:rPr>
            </w:pPr>
            <w:r>
              <w:rPr>
                <w:rFonts w:ascii="宋体" w:hAnsi="宋体"/>
                <w:sz w:val="21"/>
              </w:rPr>
            </w:r>
            <w:r/>
          </w:p>
        </w:tc>
      </w:tr>
      <w:tr>
        <w:trPr>
          <w:trHeight w:val="1020"/>
        </w:trPr>
        <w:tc>
          <w:tcPr>
            <w:tcMar>
              <w:left w:w="15" w:type="dxa"/>
              <w:top w:w="15" w:type="dxa"/>
              <w:right w:w="15" w:type="dxa"/>
            </w:tcMar>
            <w:tcW w:w="425"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4</w:t>
            </w:r>
            <w:r/>
          </w:p>
        </w:tc>
        <w:tc>
          <w:tcPr>
            <w:tcMar>
              <w:left w:w="15" w:type="dxa"/>
              <w:top w:w="15" w:type="dxa"/>
              <w:right w:w="15" w:type="dxa"/>
            </w:tcMar>
            <w:tcW w:w="701" w:type="dxa"/>
            <w:vAlign w:val="center"/>
            <w:vMerge w:val="continue"/>
            <w:textDirection w:val="lrTb"/>
            <w:noWrap w:val="false"/>
          </w:tcPr>
          <w:p>
            <w:pPr>
              <w:ind w:left="0"/>
              <w:jc w:val="center"/>
              <w:spacing w:line="360" w:lineRule="auto"/>
              <w:tabs>
                <w:tab w:val="left" w:pos="420" w:leader="none"/>
                <w:tab w:val="left" w:pos="540" w:leader="none"/>
              </w:tabs>
              <w:rPr>
                <w:rFonts w:ascii="宋体" w:hAnsi="宋体"/>
                <w:b/>
                <w:sz w:val="21"/>
              </w:rPr>
            </w:pPr>
            <w:r>
              <w:rPr>
                <w:rFonts w:ascii="宋体" w:hAnsi="宋体"/>
                <w:b/>
                <w:sz w:val="21"/>
              </w:rPr>
            </w:r>
            <w:r/>
          </w:p>
        </w:tc>
        <w:tc>
          <w:tcPr>
            <w:tcMar>
              <w:left w:w="15" w:type="dxa"/>
              <w:top w:w="15" w:type="dxa"/>
              <w:right w:w="15" w:type="dxa"/>
            </w:tcMar>
            <w:tcW w:w="2134"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鼠标展线PWA上料及组装设备</w:t>
            </w:r>
            <w:r/>
          </w:p>
        </w:tc>
        <w:tc>
          <w:tcPr>
            <w:tcMar>
              <w:left w:w="15" w:type="dxa"/>
              <w:top w:w="15" w:type="dxa"/>
              <w:right w:w="15" w:type="dxa"/>
            </w:tcMar>
            <w:tcW w:w="48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设备点检，点检内容：载具传送线组件、二次定位台组件、Tray定位组件、移动料仓组件、料仓组件、机械手组件、空tray回收组件、载具回流线组件。</w:t>
            </w:r>
            <w:r/>
          </w:p>
        </w:tc>
        <w:tc>
          <w:tcPr>
            <w:tcMar>
              <w:left w:w="15" w:type="dxa"/>
              <w:top w:w="15" w:type="dxa"/>
              <w:right w:w="15" w:type="dxa"/>
            </w:tcMar>
            <w:tcW w:w="1559" w:type="dxa"/>
            <w:vAlign w:val="center"/>
            <w:vMerge w:val="continue"/>
            <w:textDirection w:val="lrTb"/>
            <w:noWrap w:val="false"/>
          </w:tcPr>
          <w:p>
            <w:pPr>
              <w:ind w:left="0"/>
              <w:spacing w:line="360" w:lineRule="auto"/>
              <w:tabs>
                <w:tab w:val="left" w:pos="420" w:leader="none"/>
                <w:tab w:val="left" w:pos="540" w:leader="none"/>
              </w:tabs>
              <w:rPr>
                <w:rFonts w:ascii="宋体" w:hAnsi="宋体"/>
                <w:sz w:val="21"/>
              </w:rPr>
            </w:pPr>
            <w:r>
              <w:rPr>
                <w:rFonts w:ascii="宋体" w:hAnsi="宋体"/>
                <w:sz w:val="21"/>
              </w:rPr>
            </w:r>
            <w:r/>
          </w:p>
        </w:tc>
      </w:tr>
      <w:tr>
        <w:trPr>
          <w:trHeight w:val="1020"/>
        </w:trPr>
        <w:tc>
          <w:tcPr>
            <w:tcMar>
              <w:left w:w="15" w:type="dxa"/>
              <w:top w:w="15" w:type="dxa"/>
              <w:right w:w="15" w:type="dxa"/>
            </w:tcMar>
            <w:tcW w:w="425"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5</w:t>
            </w:r>
            <w:r/>
          </w:p>
        </w:tc>
        <w:tc>
          <w:tcPr>
            <w:tcMar>
              <w:left w:w="15" w:type="dxa"/>
              <w:top w:w="15" w:type="dxa"/>
              <w:right w:w="15" w:type="dxa"/>
            </w:tcMar>
            <w:tcW w:w="701" w:type="dxa"/>
            <w:vAlign w:val="center"/>
            <w:vMerge w:val="continue"/>
            <w:textDirection w:val="lrTb"/>
            <w:noWrap w:val="false"/>
          </w:tcPr>
          <w:p>
            <w:pPr>
              <w:ind w:left="0"/>
              <w:jc w:val="center"/>
              <w:spacing w:line="360" w:lineRule="auto"/>
              <w:tabs>
                <w:tab w:val="left" w:pos="420" w:leader="none"/>
                <w:tab w:val="left" w:pos="540" w:leader="none"/>
              </w:tabs>
              <w:rPr>
                <w:rFonts w:ascii="宋体" w:hAnsi="宋体"/>
                <w:b/>
                <w:sz w:val="21"/>
              </w:rPr>
            </w:pPr>
            <w:r>
              <w:rPr>
                <w:rFonts w:ascii="宋体" w:hAnsi="宋体"/>
                <w:b/>
                <w:sz w:val="21"/>
              </w:rPr>
            </w:r>
            <w:r/>
          </w:p>
        </w:tc>
        <w:tc>
          <w:tcPr>
            <w:tcMar>
              <w:left w:w="15" w:type="dxa"/>
              <w:top w:w="15" w:type="dxa"/>
              <w:right w:w="15" w:type="dxa"/>
            </w:tcMar>
            <w:tcW w:w="2134"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鼠标展线CASE扣合及锁付设备</w:t>
            </w:r>
            <w:r/>
          </w:p>
        </w:tc>
        <w:tc>
          <w:tcPr>
            <w:tcMar>
              <w:left w:w="15" w:type="dxa"/>
              <w:top w:w="15" w:type="dxa"/>
              <w:right w:w="15" w:type="dxa"/>
            </w:tcMar>
            <w:tcW w:w="48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设备点检，点检内容：载具传送线组件、二次定位台组件、锁付组件、移动旋转平台组件、机械手组件、载具回流线组件。</w:t>
            </w:r>
            <w:r/>
          </w:p>
        </w:tc>
        <w:tc>
          <w:tcPr>
            <w:tcMar>
              <w:left w:w="15" w:type="dxa"/>
              <w:top w:w="15" w:type="dxa"/>
              <w:right w:w="15" w:type="dxa"/>
            </w:tcMar>
            <w:tcW w:w="1559" w:type="dxa"/>
            <w:vAlign w:val="center"/>
            <w:vMerge w:val="continue"/>
            <w:textDirection w:val="lrTb"/>
            <w:noWrap w:val="false"/>
          </w:tcPr>
          <w:p>
            <w:pPr>
              <w:ind w:left="0"/>
              <w:spacing w:line="360" w:lineRule="auto"/>
              <w:tabs>
                <w:tab w:val="left" w:pos="420" w:leader="none"/>
                <w:tab w:val="left" w:pos="540" w:leader="none"/>
              </w:tabs>
              <w:rPr>
                <w:rFonts w:ascii="宋体" w:hAnsi="宋体"/>
                <w:sz w:val="21"/>
              </w:rPr>
            </w:pPr>
            <w:r>
              <w:rPr>
                <w:rFonts w:ascii="宋体" w:hAnsi="宋体"/>
                <w:sz w:val="21"/>
              </w:rPr>
            </w:r>
            <w:r/>
          </w:p>
        </w:tc>
      </w:tr>
      <w:tr>
        <w:trPr>
          <w:trHeight w:val="1080"/>
        </w:trPr>
        <w:tc>
          <w:tcPr>
            <w:tcMar>
              <w:left w:w="15" w:type="dxa"/>
              <w:top w:w="15" w:type="dxa"/>
              <w:right w:w="15" w:type="dxa"/>
            </w:tcMar>
            <w:tcW w:w="425"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6</w:t>
            </w:r>
            <w:r/>
          </w:p>
        </w:tc>
        <w:tc>
          <w:tcPr>
            <w:tcMar>
              <w:left w:w="15" w:type="dxa"/>
              <w:top w:w="15" w:type="dxa"/>
              <w:right w:w="15" w:type="dxa"/>
            </w:tcMar>
            <w:tcW w:w="701" w:type="dxa"/>
            <w:vAlign w:val="center"/>
            <w:vMerge w:val="continue"/>
            <w:textDirection w:val="lrTb"/>
            <w:noWrap w:val="false"/>
          </w:tcPr>
          <w:p>
            <w:pPr>
              <w:ind w:left="0"/>
              <w:jc w:val="center"/>
              <w:spacing w:line="360" w:lineRule="auto"/>
              <w:tabs>
                <w:tab w:val="left" w:pos="420" w:leader="none"/>
                <w:tab w:val="left" w:pos="540" w:leader="none"/>
              </w:tabs>
              <w:rPr>
                <w:rFonts w:ascii="宋体" w:hAnsi="宋体"/>
                <w:b/>
                <w:sz w:val="21"/>
              </w:rPr>
            </w:pPr>
            <w:r>
              <w:rPr>
                <w:rFonts w:ascii="宋体" w:hAnsi="宋体"/>
                <w:b/>
                <w:sz w:val="21"/>
              </w:rPr>
            </w:r>
            <w:r/>
          </w:p>
        </w:tc>
        <w:tc>
          <w:tcPr>
            <w:tcMar>
              <w:left w:w="15" w:type="dxa"/>
              <w:top w:w="15" w:type="dxa"/>
              <w:right w:w="15" w:type="dxa"/>
            </w:tcMar>
            <w:tcW w:w="2134"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鼠标展线测试镭雕机接收器组装设备</w:t>
            </w:r>
            <w:r/>
          </w:p>
        </w:tc>
        <w:tc>
          <w:tcPr>
            <w:tcMar>
              <w:left w:w="15" w:type="dxa"/>
              <w:top w:w="15" w:type="dxa"/>
              <w:right w:w="15" w:type="dxa"/>
            </w:tcMar>
            <w:tcW w:w="48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设备点检，点检内容：载具传送线组件、二次定位台组件、Tray定位组件、测试组件、料仓组件、机械手组件、空tray回收组件、载具回流线组件。</w:t>
            </w:r>
            <w:r/>
          </w:p>
        </w:tc>
        <w:tc>
          <w:tcPr>
            <w:tcMar>
              <w:left w:w="15" w:type="dxa"/>
              <w:top w:w="15" w:type="dxa"/>
              <w:right w:w="15" w:type="dxa"/>
            </w:tcMar>
            <w:tcW w:w="1559" w:type="dxa"/>
            <w:vAlign w:val="center"/>
            <w:vMerge w:val="continue"/>
            <w:textDirection w:val="lrTb"/>
            <w:noWrap w:val="false"/>
          </w:tcPr>
          <w:p>
            <w:pPr>
              <w:ind w:left="0"/>
              <w:spacing w:line="360" w:lineRule="auto"/>
              <w:tabs>
                <w:tab w:val="left" w:pos="420" w:leader="none"/>
                <w:tab w:val="left" w:pos="540" w:leader="none"/>
              </w:tabs>
              <w:rPr>
                <w:rFonts w:ascii="宋体" w:hAnsi="宋体"/>
                <w:sz w:val="21"/>
              </w:rPr>
            </w:pPr>
            <w:r>
              <w:rPr>
                <w:rFonts w:ascii="宋体" w:hAnsi="宋体"/>
                <w:sz w:val="21"/>
              </w:rPr>
            </w:r>
            <w:r/>
          </w:p>
        </w:tc>
      </w:tr>
      <w:tr>
        <w:trPr>
          <w:trHeight w:val="1080"/>
        </w:trPr>
        <w:tc>
          <w:tcPr>
            <w:tcMar>
              <w:left w:w="15" w:type="dxa"/>
              <w:top w:w="15" w:type="dxa"/>
              <w:right w:w="15" w:type="dxa"/>
            </w:tcMar>
            <w:tcW w:w="425"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7</w:t>
            </w:r>
            <w:r/>
          </w:p>
        </w:tc>
        <w:tc>
          <w:tcPr>
            <w:tcMar>
              <w:left w:w="15" w:type="dxa"/>
              <w:top w:w="15" w:type="dxa"/>
              <w:right w:w="15" w:type="dxa"/>
            </w:tcMar>
            <w:tcW w:w="701" w:type="dxa"/>
            <w:vAlign w:val="center"/>
            <w:vMerge w:val="continue"/>
            <w:textDirection w:val="lrTb"/>
            <w:noWrap w:val="false"/>
          </w:tcPr>
          <w:p>
            <w:pPr>
              <w:ind w:left="0"/>
              <w:jc w:val="center"/>
              <w:spacing w:line="360" w:lineRule="auto"/>
              <w:tabs>
                <w:tab w:val="left" w:pos="420" w:leader="none"/>
                <w:tab w:val="left" w:pos="540" w:leader="none"/>
              </w:tabs>
              <w:rPr>
                <w:rFonts w:ascii="宋体" w:hAnsi="宋体"/>
                <w:b/>
                <w:sz w:val="21"/>
              </w:rPr>
            </w:pPr>
            <w:r>
              <w:rPr>
                <w:rFonts w:ascii="宋体" w:hAnsi="宋体"/>
                <w:b/>
                <w:sz w:val="21"/>
              </w:rPr>
            </w:r>
            <w:r/>
          </w:p>
        </w:tc>
        <w:tc>
          <w:tcPr>
            <w:tcMar>
              <w:left w:w="15" w:type="dxa"/>
              <w:top w:w="15" w:type="dxa"/>
              <w:right w:w="15" w:type="dxa"/>
            </w:tcMar>
            <w:tcW w:w="2134"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鼠标展线电池盖组装设备</w:t>
            </w:r>
            <w:r/>
          </w:p>
        </w:tc>
        <w:tc>
          <w:tcPr>
            <w:tcMar>
              <w:left w:w="15" w:type="dxa"/>
              <w:top w:w="15" w:type="dxa"/>
              <w:right w:w="15" w:type="dxa"/>
            </w:tcMar>
            <w:tcW w:w="48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设备点检，点检内容：载具传送线组件、二次定位台组件、Tray定位组件、包装盒翻盖组件、料仓组件、机械手组件、空tray回收组件、载具回流线组件、升降机组件。</w:t>
            </w:r>
            <w:r/>
          </w:p>
        </w:tc>
        <w:tc>
          <w:tcPr>
            <w:tcMar>
              <w:left w:w="15" w:type="dxa"/>
              <w:top w:w="15" w:type="dxa"/>
              <w:right w:w="15" w:type="dxa"/>
            </w:tcMar>
            <w:tcW w:w="1559" w:type="dxa"/>
            <w:vAlign w:val="center"/>
            <w:vMerge w:val="continue"/>
            <w:textDirection w:val="lrTb"/>
            <w:noWrap w:val="false"/>
          </w:tcPr>
          <w:p>
            <w:pPr>
              <w:ind w:left="0"/>
              <w:spacing w:line="360" w:lineRule="auto"/>
              <w:tabs>
                <w:tab w:val="left" w:pos="420" w:leader="none"/>
                <w:tab w:val="left" w:pos="540" w:leader="none"/>
              </w:tabs>
              <w:rPr>
                <w:rFonts w:ascii="宋体" w:hAnsi="宋体"/>
                <w:sz w:val="21"/>
              </w:rPr>
            </w:pPr>
            <w:r>
              <w:rPr>
                <w:rFonts w:ascii="宋体" w:hAnsi="宋体"/>
                <w:sz w:val="21"/>
              </w:rPr>
            </w:r>
            <w:r/>
          </w:p>
        </w:tc>
      </w:tr>
      <w:tr>
        <w:trPr>
          <w:trHeight w:val="720"/>
        </w:trPr>
        <w:tc>
          <w:tcPr>
            <w:tcMar>
              <w:left w:w="15" w:type="dxa"/>
              <w:top w:w="15" w:type="dxa"/>
              <w:right w:w="15" w:type="dxa"/>
            </w:tcMar>
            <w:tcW w:w="425"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8</w:t>
            </w:r>
            <w:r/>
          </w:p>
        </w:tc>
        <w:tc>
          <w:tcPr>
            <w:tcMar>
              <w:left w:w="15" w:type="dxa"/>
              <w:top w:w="15" w:type="dxa"/>
              <w:right w:w="15" w:type="dxa"/>
            </w:tcMar>
            <w:tcW w:w="701" w:type="dxa"/>
            <w:vAlign w:val="center"/>
            <w:vMerge w:val="continue"/>
            <w:textDirection w:val="lrTb"/>
            <w:noWrap w:val="false"/>
          </w:tcPr>
          <w:p>
            <w:pPr>
              <w:ind w:left="0"/>
              <w:jc w:val="center"/>
              <w:spacing w:line="360" w:lineRule="auto"/>
              <w:tabs>
                <w:tab w:val="left" w:pos="420" w:leader="none"/>
                <w:tab w:val="left" w:pos="540" w:leader="none"/>
              </w:tabs>
              <w:rPr>
                <w:rFonts w:ascii="宋体" w:hAnsi="宋体"/>
                <w:b/>
                <w:sz w:val="21"/>
              </w:rPr>
            </w:pPr>
            <w:r>
              <w:rPr>
                <w:rFonts w:ascii="宋体" w:hAnsi="宋体"/>
                <w:b/>
                <w:sz w:val="21"/>
              </w:rPr>
            </w:r>
            <w:r/>
          </w:p>
        </w:tc>
        <w:tc>
          <w:tcPr>
            <w:tcMar>
              <w:left w:w="15" w:type="dxa"/>
              <w:top w:w="15" w:type="dxa"/>
              <w:right w:w="15" w:type="dxa"/>
            </w:tcMar>
            <w:tcW w:w="2134"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鼠标展线成品下料设备</w:t>
            </w:r>
            <w:r/>
          </w:p>
        </w:tc>
        <w:tc>
          <w:tcPr>
            <w:tcMar>
              <w:left w:w="15" w:type="dxa"/>
              <w:top w:w="15" w:type="dxa"/>
              <w:right w:w="15" w:type="dxa"/>
            </w:tcMar>
            <w:tcW w:w="48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设备点检，点检内容：喷码机组件、机械手组件、喷码机皮带线组件。</w:t>
            </w:r>
            <w:r/>
          </w:p>
        </w:tc>
        <w:tc>
          <w:tcPr>
            <w:tcMar>
              <w:left w:w="15" w:type="dxa"/>
              <w:top w:w="15" w:type="dxa"/>
              <w:right w:w="15" w:type="dxa"/>
            </w:tcMar>
            <w:tcW w:w="1559" w:type="dxa"/>
            <w:vAlign w:val="center"/>
            <w:vMerge w:val="continue"/>
            <w:textDirection w:val="lrTb"/>
            <w:noWrap w:val="false"/>
          </w:tcPr>
          <w:p>
            <w:pPr>
              <w:ind w:left="0"/>
              <w:spacing w:line="360" w:lineRule="auto"/>
              <w:tabs>
                <w:tab w:val="left" w:pos="420" w:leader="none"/>
                <w:tab w:val="left" w:pos="540" w:leader="none"/>
              </w:tabs>
              <w:rPr>
                <w:rFonts w:ascii="宋体" w:hAnsi="宋体"/>
                <w:sz w:val="21"/>
              </w:rPr>
            </w:pPr>
            <w:r>
              <w:rPr>
                <w:rFonts w:ascii="宋体" w:hAnsi="宋体"/>
                <w:sz w:val="21"/>
              </w:rPr>
            </w:r>
            <w:r/>
          </w:p>
        </w:tc>
      </w:tr>
      <w:tr>
        <w:trPr>
          <w:trHeight w:val="1220"/>
        </w:trPr>
        <w:tc>
          <w:tcPr>
            <w:tcMar>
              <w:left w:w="15" w:type="dxa"/>
              <w:top w:w="15" w:type="dxa"/>
              <w:right w:w="15" w:type="dxa"/>
            </w:tcMar>
            <w:tcW w:w="425"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9</w:t>
            </w:r>
            <w:r/>
          </w:p>
        </w:tc>
        <w:tc>
          <w:tcPr>
            <w:tcMar>
              <w:left w:w="15" w:type="dxa"/>
              <w:top w:w="15" w:type="dxa"/>
              <w:right w:w="15" w:type="dxa"/>
            </w:tcMar>
            <w:tcW w:w="701" w:type="dxa"/>
            <w:vAlign w:val="center"/>
            <w:vMerge w:val="continue"/>
            <w:textDirection w:val="lrTb"/>
            <w:noWrap w:val="false"/>
          </w:tcPr>
          <w:p>
            <w:pPr>
              <w:ind w:left="0"/>
              <w:jc w:val="center"/>
              <w:spacing w:line="360" w:lineRule="auto"/>
              <w:tabs>
                <w:tab w:val="left" w:pos="420" w:leader="none"/>
                <w:tab w:val="left" w:pos="540" w:leader="none"/>
              </w:tabs>
              <w:rPr>
                <w:rFonts w:ascii="宋体" w:hAnsi="宋体"/>
                <w:b/>
                <w:sz w:val="21"/>
              </w:rPr>
            </w:pPr>
            <w:r>
              <w:rPr>
                <w:rFonts w:ascii="宋体" w:hAnsi="宋体"/>
                <w:b/>
                <w:sz w:val="21"/>
              </w:rPr>
            </w:r>
            <w:r/>
          </w:p>
        </w:tc>
        <w:tc>
          <w:tcPr>
            <w:tcMar>
              <w:left w:w="15" w:type="dxa"/>
              <w:top w:w="15" w:type="dxa"/>
              <w:right w:w="15" w:type="dxa"/>
            </w:tcMar>
            <w:tcW w:w="2134"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鼠标展线CASE上料及拆盖设备</w:t>
            </w:r>
            <w:r/>
          </w:p>
        </w:tc>
        <w:tc>
          <w:tcPr>
            <w:tcMar>
              <w:left w:w="15" w:type="dxa"/>
              <w:top w:w="15" w:type="dxa"/>
              <w:right w:w="15" w:type="dxa"/>
            </w:tcMar>
            <w:tcW w:w="48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故障处理：机械手报警E1、料仓补料超时、缓存仓补料超时、升降机皮带轴异响、载具回流线皮带轴异响、Tray定位皮带不转、料仓皮带不转、料仓分盘气缸未到位、料仓Z轴无法运动到点位、回收仓负压报警。</w:t>
            </w:r>
            <w:r/>
          </w:p>
        </w:tc>
        <w:tc>
          <w:tcPr>
            <w:tcMar>
              <w:left w:w="15" w:type="dxa"/>
              <w:top w:w="15" w:type="dxa"/>
              <w:right w:w="15" w:type="dxa"/>
            </w:tcMar>
            <w:tcW w:w="1559" w:type="dxa"/>
            <w:vAlign w:val="center"/>
            <w:vMerge w:val="restart"/>
            <w:textDirection w:val="lrTb"/>
            <w:noWrap w:val="false"/>
          </w:tcPr>
          <w:p>
            <w:pPr>
              <w:ind w:left="0"/>
              <w:spacing w:line="360" w:lineRule="auto"/>
              <w:tabs>
                <w:tab w:val="left" w:pos="420" w:leader="none"/>
                <w:tab w:val="left" w:pos="540" w:leader="none"/>
              </w:tabs>
              <w:rPr>
                <w:rFonts w:ascii="宋体" w:hAnsi="宋体"/>
                <w:sz w:val="21"/>
              </w:rPr>
            </w:pPr>
            <w:r>
              <w:rPr>
                <w:rFonts w:ascii="宋体" w:hAnsi="宋体"/>
                <w:sz w:val="21"/>
              </w:rPr>
            </w:r>
            <w:r/>
          </w:p>
        </w:tc>
      </w:tr>
      <w:tr>
        <w:trPr>
          <w:trHeight w:val="1220"/>
        </w:trPr>
        <w:tc>
          <w:tcPr>
            <w:tcMar>
              <w:left w:w="15" w:type="dxa"/>
              <w:top w:w="15" w:type="dxa"/>
              <w:right w:w="15" w:type="dxa"/>
            </w:tcMar>
            <w:tcW w:w="425"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10</w:t>
            </w:r>
            <w:r/>
          </w:p>
        </w:tc>
        <w:tc>
          <w:tcPr>
            <w:tcMar>
              <w:left w:w="15" w:type="dxa"/>
              <w:top w:w="15" w:type="dxa"/>
              <w:right w:w="15" w:type="dxa"/>
            </w:tcMar>
            <w:tcW w:w="701" w:type="dxa"/>
            <w:vAlign w:val="center"/>
            <w:vMerge w:val="continue"/>
            <w:textDirection w:val="lrTb"/>
            <w:noWrap w:val="false"/>
          </w:tcPr>
          <w:p>
            <w:pPr>
              <w:ind w:left="0"/>
              <w:jc w:val="center"/>
              <w:spacing w:line="360" w:lineRule="auto"/>
              <w:tabs>
                <w:tab w:val="left" w:pos="420" w:leader="none"/>
                <w:tab w:val="left" w:pos="540" w:leader="none"/>
              </w:tabs>
              <w:rPr>
                <w:rFonts w:ascii="宋体" w:hAnsi="宋体"/>
                <w:b/>
                <w:sz w:val="21"/>
              </w:rPr>
            </w:pPr>
            <w:r>
              <w:rPr>
                <w:rFonts w:ascii="宋体" w:hAnsi="宋体"/>
                <w:b/>
                <w:sz w:val="21"/>
              </w:rPr>
            </w:r>
            <w:r/>
          </w:p>
        </w:tc>
        <w:tc>
          <w:tcPr>
            <w:tcMar>
              <w:left w:w="15" w:type="dxa"/>
              <w:top w:w="15" w:type="dxa"/>
              <w:right w:w="15" w:type="dxa"/>
            </w:tcMar>
            <w:tcW w:w="2134"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鼠标展线LENS上料及组装设备</w:t>
            </w:r>
            <w:r/>
          </w:p>
        </w:tc>
        <w:tc>
          <w:tcPr>
            <w:tcMar>
              <w:left w:w="15" w:type="dxa"/>
              <w:top w:w="15" w:type="dxa"/>
              <w:right w:w="15" w:type="dxa"/>
            </w:tcMar>
            <w:tcW w:w="48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故障处理：机械手报警、料仓补料超时、缓存仓补料超时、流水线皮带轴异响、载具回流线皮带轴异响、Tray定位皮带不转、料仓皮带不转、料仓分盘气缸未到位、料仓Z轴无法运动到点位、回收仓负压报警。</w:t>
            </w:r>
            <w:r/>
          </w:p>
        </w:tc>
        <w:tc>
          <w:tcPr>
            <w:tcMar>
              <w:left w:w="15" w:type="dxa"/>
              <w:top w:w="15" w:type="dxa"/>
              <w:right w:w="15" w:type="dxa"/>
            </w:tcMar>
            <w:tcW w:w="1559" w:type="dxa"/>
            <w:vAlign w:val="center"/>
            <w:vMerge w:val="continue"/>
            <w:textDirection w:val="lrTb"/>
            <w:noWrap w:val="false"/>
          </w:tcPr>
          <w:p>
            <w:pPr>
              <w:ind w:left="0"/>
              <w:spacing w:line="360" w:lineRule="auto"/>
              <w:tabs>
                <w:tab w:val="left" w:pos="420" w:leader="none"/>
                <w:tab w:val="left" w:pos="540" w:leader="none"/>
              </w:tabs>
              <w:rPr>
                <w:rFonts w:ascii="宋体" w:hAnsi="宋体"/>
                <w:sz w:val="21"/>
              </w:rPr>
            </w:pPr>
            <w:r>
              <w:rPr>
                <w:rFonts w:ascii="宋体" w:hAnsi="宋体"/>
                <w:sz w:val="21"/>
              </w:rPr>
            </w:r>
            <w:r/>
          </w:p>
        </w:tc>
      </w:tr>
      <w:tr>
        <w:trPr>
          <w:trHeight w:val="1220"/>
        </w:trPr>
        <w:tc>
          <w:tcPr>
            <w:tcMar>
              <w:left w:w="15" w:type="dxa"/>
              <w:top w:w="15" w:type="dxa"/>
              <w:right w:w="15" w:type="dxa"/>
            </w:tcMar>
            <w:tcW w:w="425"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11</w:t>
            </w:r>
            <w:r/>
          </w:p>
        </w:tc>
        <w:tc>
          <w:tcPr>
            <w:tcMar>
              <w:left w:w="15" w:type="dxa"/>
              <w:top w:w="15" w:type="dxa"/>
              <w:right w:w="15" w:type="dxa"/>
            </w:tcMar>
            <w:tcW w:w="701" w:type="dxa"/>
            <w:vAlign w:val="center"/>
            <w:vMerge w:val="continue"/>
            <w:textDirection w:val="lrTb"/>
            <w:noWrap w:val="false"/>
          </w:tcPr>
          <w:p>
            <w:pPr>
              <w:ind w:left="0"/>
              <w:jc w:val="center"/>
              <w:spacing w:line="360" w:lineRule="auto"/>
              <w:tabs>
                <w:tab w:val="left" w:pos="420" w:leader="none"/>
                <w:tab w:val="left" w:pos="540" w:leader="none"/>
              </w:tabs>
              <w:rPr>
                <w:rFonts w:ascii="宋体" w:hAnsi="宋体"/>
                <w:b/>
                <w:sz w:val="21"/>
              </w:rPr>
            </w:pPr>
            <w:r>
              <w:rPr>
                <w:rFonts w:ascii="宋体" w:hAnsi="宋体"/>
                <w:b/>
                <w:sz w:val="21"/>
              </w:rPr>
            </w:r>
            <w:r/>
          </w:p>
        </w:tc>
        <w:tc>
          <w:tcPr>
            <w:tcMar>
              <w:left w:w="15" w:type="dxa"/>
              <w:top w:w="15" w:type="dxa"/>
              <w:right w:w="15" w:type="dxa"/>
            </w:tcMar>
            <w:tcW w:w="2134"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鼠标展线开关上料及组装设备</w:t>
            </w:r>
            <w:r/>
          </w:p>
        </w:tc>
        <w:tc>
          <w:tcPr>
            <w:tcMar>
              <w:left w:w="15" w:type="dxa"/>
              <w:top w:w="15" w:type="dxa"/>
              <w:right w:w="15" w:type="dxa"/>
            </w:tcMar>
            <w:tcW w:w="48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故障处理：机械手报警、料仓补料超时、缓存仓补料超时、流水线皮带轴异响、载具回流线皮带轴异响、Tray定位皮带不转、料仓皮带不转、料仓分盘气缸未到位、料仓Z轴无法运动到点位、回收仓负压报警。</w:t>
            </w:r>
            <w:r/>
          </w:p>
        </w:tc>
        <w:tc>
          <w:tcPr>
            <w:tcMar>
              <w:left w:w="15" w:type="dxa"/>
              <w:top w:w="15" w:type="dxa"/>
              <w:right w:w="15" w:type="dxa"/>
            </w:tcMar>
            <w:tcW w:w="1559" w:type="dxa"/>
            <w:vAlign w:val="center"/>
            <w:vMerge w:val="continue"/>
            <w:textDirection w:val="lrTb"/>
            <w:noWrap w:val="false"/>
          </w:tcPr>
          <w:p>
            <w:pPr>
              <w:ind w:left="0"/>
              <w:spacing w:line="360" w:lineRule="auto"/>
              <w:tabs>
                <w:tab w:val="left" w:pos="420" w:leader="none"/>
                <w:tab w:val="left" w:pos="540" w:leader="none"/>
              </w:tabs>
              <w:rPr>
                <w:rFonts w:ascii="宋体" w:hAnsi="宋体"/>
                <w:sz w:val="21"/>
              </w:rPr>
            </w:pPr>
            <w:r>
              <w:rPr>
                <w:rFonts w:ascii="宋体" w:hAnsi="宋体"/>
                <w:sz w:val="21"/>
              </w:rPr>
            </w:r>
            <w:r/>
          </w:p>
        </w:tc>
      </w:tr>
      <w:tr>
        <w:trPr>
          <w:trHeight w:val="1245"/>
        </w:trPr>
        <w:tc>
          <w:tcPr>
            <w:tcMar>
              <w:left w:w="15" w:type="dxa"/>
              <w:top w:w="15" w:type="dxa"/>
              <w:right w:w="15" w:type="dxa"/>
            </w:tcMar>
            <w:tcW w:w="425"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12</w:t>
            </w:r>
            <w:r/>
          </w:p>
        </w:tc>
        <w:tc>
          <w:tcPr>
            <w:tcMar>
              <w:left w:w="15" w:type="dxa"/>
              <w:top w:w="15" w:type="dxa"/>
              <w:right w:w="15" w:type="dxa"/>
            </w:tcMar>
            <w:tcW w:w="701" w:type="dxa"/>
            <w:vAlign w:val="center"/>
            <w:vMerge w:val="continue"/>
            <w:textDirection w:val="lrTb"/>
            <w:noWrap w:val="false"/>
          </w:tcPr>
          <w:p>
            <w:pPr>
              <w:ind w:left="0"/>
              <w:jc w:val="center"/>
              <w:spacing w:line="360" w:lineRule="auto"/>
              <w:tabs>
                <w:tab w:val="left" w:pos="420" w:leader="none"/>
                <w:tab w:val="left" w:pos="540" w:leader="none"/>
              </w:tabs>
              <w:rPr>
                <w:rFonts w:ascii="宋体" w:hAnsi="宋体"/>
                <w:b/>
                <w:sz w:val="21"/>
              </w:rPr>
            </w:pPr>
            <w:r>
              <w:rPr>
                <w:rFonts w:ascii="宋体" w:hAnsi="宋体"/>
                <w:b/>
                <w:sz w:val="21"/>
              </w:rPr>
            </w:r>
            <w:r/>
          </w:p>
        </w:tc>
        <w:tc>
          <w:tcPr>
            <w:tcMar>
              <w:left w:w="15" w:type="dxa"/>
              <w:top w:w="15" w:type="dxa"/>
              <w:right w:w="15" w:type="dxa"/>
            </w:tcMar>
            <w:tcW w:w="2134"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鼠标展线PWA上料及组装设备</w:t>
            </w:r>
            <w:r/>
          </w:p>
        </w:tc>
        <w:tc>
          <w:tcPr>
            <w:tcMar>
              <w:left w:w="15" w:type="dxa"/>
              <w:top w:w="15" w:type="dxa"/>
              <w:right w:w="15" w:type="dxa"/>
            </w:tcMar>
            <w:tcW w:w="48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故障处理：机械手报警、料仓补料超时、缓存仓补料超时、流水线皮带轴异响、载具回流线皮带轴异响、Tray定位皮带不转、料仓皮带不转、料仓分盘气缸未</w:t>
            </w:r>
            <w:r>
              <w:rPr>
                <w:rFonts w:hint="eastAsia" w:ascii="宋体" w:hAnsi="宋体"/>
                <w:sz w:val="21"/>
              </w:rPr>
              <w:t xml:space="preserve">到位、料仓Z轴无法运动到点位、回收仓负压报警、载具物料检测报警、二次定位台夹紧气缸报警、检测下压气缸报警。</w:t>
            </w:r>
            <w:r/>
          </w:p>
        </w:tc>
        <w:tc>
          <w:tcPr>
            <w:tcMar>
              <w:left w:w="15" w:type="dxa"/>
              <w:top w:w="15" w:type="dxa"/>
              <w:right w:w="15" w:type="dxa"/>
            </w:tcMar>
            <w:tcW w:w="1559" w:type="dxa"/>
            <w:vAlign w:val="center"/>
            <w:vMerge w:val="continue"/>
            <w:textDirection w:val="lrTb"/>
            <w:noWrap w:val="false"/>
          </w:tcPr>
          <w:p>
            <w:pPr>
              <w:ind w:left="0"/>
              <w:spacing w:line="360" w:lineRule="auto"/>
              <w:tabs>
                <w:tab w:val="left" w:pos="420" w:leader="none"/>
                <w:tab w:val="left" w:pos="540" w:leader="none"/>
              </w:tabs>
              <w:rPr>
                <w:rFonts w:ascii="宋体" w:hAnsi="宋体"/>
                <w:sz w:val="21"/>
              </w:rPr>
            </w:pPr>
            <w:r>
              <w:rPr>
                <w:rFonts w:ascii="宋体" w:hAnsi="宋体"/>
                <w:sz w:val="21"/>
              </w:rPr>
            </w:r>
            <w:r/>
          </w:p>
        </w:tc>
      </w:tr>
      <w:tr>
        <w:trPr>
          <w:trHeight w:val="940"/>
        </w:trPr>
        <w:tc>
          <w:tcPr>
            <w:tcMar>
              <w:left w:w="15" w:type="dxa"/>
              <w:top w:w="15" w:type="dxa"/>
              <w:right w:w="15" w:type="dxa"/>
            </w:tcMar>
            <w:tcW w:w="425"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13</w:t>
            </w:r>
            <w:r/>
          </w:p>
        </w:tc>
        <w:tc>
          <w:tcPr>
            <w:tcMar>
              <w:left w:w="15" w:type="dxa"/>
              <w:top w:w="15" w:type="dxa"/>
              <w:right w:w="15" w:type="dxa"/>
            </w:tcMar>
            <w:tcW w:w="701" w:type="dxa"/>
            <w:vAlign w:val="center"/>
            <w:vMerge w:val="continue"/>
            <w:textDirection w:val="lrTb"/>
            <w:noWrap w:val="false"/>
          </w:tcPr>
          <w:p>
            <w:pPr>
              <w:ind w:left="0"/>
              <w:jc w:val="center"/>
              <w:spacing w:line="360" w:lineRule="auto"/>
              <w:tabs>
                <w:tab w:val="left" w:pos="420" w:leader="none"/>
                <w:tab w:val="left" w:pos="540" w:leader="none"/>
              </w:tabs>
              <w:rPr>
                <w:rFonts w:ascii="宋体" w:hAnsi="宋体"/>
                <w:b/>
                <w:sz w:val="21"/>
              </w:rPr>
            </w:pPr>
            <w:r>
              <w:rPr>
                <w:rFonts w:ascii="宋体" w:hAnsi="宋体"/>
                <w:b/>
                <w:sz w:val="21"/>
              </w:rPr>
            </w:r>
            <w:r/>
          </w:p>
        </w:tc>
        <w:tc>
          <w:tcPr>
            <w:tcMar>
              <w:left w:w="15" w:type="dxa"/>
              <w:top w:w="15" w:type="dxa"/>
              <w:right w:w="15" w:type="dxa"/>
            </w:tcMar>
            <w:tcW w:w="2134"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鼠标展线CASE扣合及锁付设备</w:t>
            </w:r>
            <w:r/>
          </w:p>
        </w:tc>
        <w:tc>
          <w:tcPr>
            <w:tcMar>
              <w:left w:w="15" w:type="dxa"/>
              <w:top w:w="15" w:type="dxa"/>
              <w:right w:w="15" w:type="dxa"/>
            </w:tcMar>
            <w:tcW w:w="48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故障处理：机械手报警、螺丝机补料超时、流水线皮带轴异响、载具回流线皮带轴异响。</w:t>
            </w:r>
            <w:r/>
          </w:p>
        </w:tc>
        <w:tc>
          <w:tcPr>
            <w:tcMar>
              <w:left w:w="15" w:type="dxa"/>
              <w:top w:w="15" w:type="dxa"/>
              <w:right w:w="15" w:type="dxa"/>
            </w:tcMar>
            <w:tcW w:w="1559" w:type="dxa"/>
            <w:vAlign w:val="center"/>
            <w:vMerge w:val="continue"/>
            <w:textDirection w:val="lrTb"/>
            <w:noWrap w:val="false"/>
          </w:tcPr>
          <w:p>
            <w:pPr>
              <w:ind w:left="0"/>
              <w:spacing w:line="360" w:lineRule="auto"/>
              <w:tabs>
                <w:tab w:val="left" w:pos="420" w:leader="none"/>
                <w:tab w:val="left" w:pos="540" w:leader="none"/>
              </w:tabs>
              <w:rPr>
                <w:rFonts w:ascii="宋体" w:hAnsi="宋体"/>
                <w:sz w:val="21"/>
              </w:rPr>
            </w:pPr>
            <w:r>
              <w:rPr>
                <w:rFonts w:ascii="宋体" w:hAnsi="宋体"/>
                <w:sz w:val="21"/>
              </w:rPr>
            </w:r>
            <w:r/>
          </w:p>
        </w:tc>
      </w:tr>
      <w:tr>
        <w:trPr>
          <w:trHeight w:val="1240"/>
        </w:trPr>
        <w:tc>
          <w:tcPr>
            <w:tcMar>
              <w:left w:w="15" w:type="dxa"/>
              <w:top w:w="15" w:type="dxa"/>
              <w:right w:w="15" w:type="dxa"/>
            </w:tcMar>
            <w:tcW w:w="425"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14</w:t>
            </w:r>
            <w:r/>
          </w:p>
        </w:tc>
        <w:tc>
          <w:tcPr>
            <w:tcMar>
              <w:left w:w="15" w:type="dxa"/>
              <w:top w:w="15" w:type="dxa"/>
              <w:right w:w="15" w:type="dxa"/>
            </w:tcMar>
            <w:tcW w:w="701" w:type="dxa"/>
            <w:vAlign w:val="center"/>
            <w:vMerge w:val="continue"/>
            <w:textDirection w:val="lrTb"/>
            <w:noWrap w:val="false"/>
          </w:tcPr>
          <w:p>
            <w:pPr>
              <w:ind w:left="0"/>
              <w:jc w:val="center"/>
              <w:spacing w:line="360" w:lineRule="auto"/>
              <w:tabs>
                <w:tab w:val="left" w:pos="420" w:leader="none"/>
                <w:tab w:val="left" w:pos="540" w:leader="none"/>
              </w:tabs>
              <w:rPr>
                <w:rFonts w:ascii="宋体" w:hAnsi="宋体"/>
                <w:b/>
                <w:sz w:val="21"/>
              </w:rPr>
            </w:pPr>
            <w:r>
              <w:rPr>
                <w:rFonts w:ascii="宋体" w:hAnsi="宋体"/>
                <w:b/>
                <w:sz w:val="21"/>
              </w:rPr>
            </w:r>
            <w:r/>
          </w:p>
        </w:tc>
        <w:tc>
          <w:tcPr>
            <w:tcMar>
              <w:left w:w="15" w:type="dxa"/>
              <w:top w:w="15" w:type="dxa"/>
              <w:right w:w="15" w:type="dxa"/>
            </w:tcMar>
            <w:tcW w:w="2134"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鼠标展线测试镭雕机接收器组装设备</w:t>
            </w:r>
            <w:r/>
          </w:p>
        </w:tc>
        <w:tc>
          <w:tcPr>
            <w:tcMar>
              <w:left w:w="15" w:type="dxa"/>
              <w:top w:w="15" w:type="dxa"/>
              <w:right w:w="15" w:type="dxa"/>
            </w:tcMar>
            <w:tcW w:w="48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故障处理：机械手报警、料仓补料超时、流水线皮带轴异响、载具回流线皮带轴异响、Tray定位皮带不转、料仓皮带不转、料仓分盘气缸未到位、回收仓负压报警、载具撑开气缸未到位报警。</w:t>
            </w:r>
            <w:r/>
          </w:p>
        </w:tc>
        <w:tc>
          <w:tcPr>
            <w:tcMar>
              <w:left w:w="15" w:type="dxa"/>
              <w:top w:w="15" w:type="dxa"/>
              <w:right w:w="15" w:type="dxa"/>
            </w:tcMar>
            <w:tcW w:w="1559" w:type="dxa"/>
            <w:vAlign w:val="center"/>
            <w:vMerge w:val="continue"/>
            <w:textDirection w:val="lrTb"/>
            <w:noWrap w:val="false"/>
          </w:tcPr>
          <w:p>
            <w:pPr>
              <w:ind w:left="0"/>
              <w:spacing w:line="360" w:lineRule="auto"/>
              <w:tabs>
                <w:tab w:val="left" w:pos="420" w:leader="none"/>
                <w:tab w:val="left" w:pos="540" w:leader="none"/>
              </w:tabs>
              <w:rPr>
                <w:rFonts w:ascii="宋体" w:hAnsi="宋体"/>
                <w:sz w:val="21"/>
              </w:rPr>
            </w:pPr>
            <w:r>
              <w:rPr>
                <w:rFonts w:ascii="宋体" w:hAnsi="宋体"/>
                <w:sz w:val="21"/>
              </w:rPr>
            </w:r>
            <w:r/>
          </w:p>
        </w:tc>
      </w:tr>
      <w:tr>
        <w:trPr>
          <w:trHeight w:val="1200"/>
        </w:trPr>
        <w:tc>
          <w:tcPr>
            <w:tcMar>
              <w:left w:w="15" w:type="dxa"/>
              <w:top w:w="15" w:type="dxa"/>
              <w:right w:w="15" w:type="dxa"/>
            </w:tcMar>
            <w:tcW w:w="425"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15</w:t>
            </w:r>
            <w:r/>
          </w:p>
        </w:tc>
        <w:tc>
          <w:tcPr>
            <w:tcMar>
              <w:left w:w="15" w:type="dxa"/>
              <w:top w:w="15" w:type="dxa"/>
              <w:right w:w="15" w:type="dxa"/>
            </w:tcMar>
            <w:tcW w:w="701" w:type="dxa"/>
            <w:vAlign w:val="center"/>
            <w:vMerge w:val="continue"/>
            <w:textDirection w:val="lrTb"/>
            <w:noWrap w:val="false"/>
          </w:tcPr>
          <w:p>
            <w:pPr>
              <w:ind w:left="0"/>
              <w:jc w:val="center"/>
              <w:spacing w:line="360" w:lineRule="auto"/>
              <w:tabs>
                <w:tab w:val="left" w:pos="420" w:leader="none"/>
                <w:tab w:val="left" w:pos="540" w:leader="none"/>
              </w:tabs>
              <w:rPr>
                <w:rFonts w:ascii="宋体" w:hAnsi="宋体"/>
                <w:b/>
                <w:sz w:val="21"/>
              </w:rPr>
            </w:pPr>
            <w:r>
              <w:rPr>
                <w:rFonts w:ascii="宋体" w:hAnsi="宋体"/>
                <w:b/>
                <w:sz w:val="21"/>
              </w:rPr>
            </w:r>
            <w:r/>
          </w:p>
        </w:tc>
        <w:tc>
          <w:tcPr>
            <w:tcMar>
              <w:left w:w="15" w:type="dxa"/>
              <w:top w:w="15" w:type="dxa"/>
              <w:right w:w="15" w:type="dxa"/>
            </w:tcMar>
            <w:tcW w:w="2134"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鼠标展线电池盖组装设备</w:t>
            </w:r>
            <w:r/>
          </w:p>
        </w:tc>
        <w:tc>
          <w:tcPr>
            <w:tcMar>
              <w:left w:w="15" w:type="dxa"/>
              <w:top w:w="15" w:type="dxa"/>
              <w:right w:w="15" w:type="dxa"/>
            </w:tcMar>
            <w:tcW w:w="48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故障处理：机械手报警、料仓补料超时、流水线皮带轴异响、载具回流线皮带轴异响、Tray定位皮带不转、料仓皮带不转、料仓分盘气缸未到位、回收仓负压报警、升降机皮带轴异响、电池二次定位台报警。</w:t>
            </w:r>
            <w:r/>
          </w:p>
        </w:tc>
        <w:tc>
          <w:tcPr>
            <w:tcMar>
              <w:left w:w="15" w:type="dxa"/>
              <w:top w:w="15" w:type="dxa"/>
              <w:right w:w="15" w:type="dxa"/>
            </w:tcMar>
            <w:tcW w:w="1559" w:type="dxa"/>
            <w:vAlign w:val="center"/>
            <w:vMerge w:val="continue"/>
            <w:textDirection w:val="lrTb"/>
            <w:noWrap w:val="false"/>
          </w:tcPr>
          <w:p>
            <w:pPr>
              <w:ind w:left="0"/>
              <w:spacing w:line="360" w:lineRule="auto"/>
              <w:tabs>
                <w:tab w:val="left" w:pos="420" w:leader="none"/>
                <w:tab w:val="left" w:pos="540" w:leader="none"/>
              </w:tabs>
              <w:rPr>
                <w:rFonts w:ascii="宋体" w:hAnsi="宋体"/>
                <w:sz w:val="21"/>
              </w:rPr>
            </w:pPr>
            <w:r>
              <w:rPr>
                <w:rFonts w:ascii="宋体" w:hAnsi="宋体"/>
                <w:sz w:val="21"/>
              </w:rPr>
            </w:r>
            <w:r/>
          </w:p>
        </w:tc>
      </w:tr>
      <w:tr>
        <w:trPr>
          <w:trHeight w:val="740"/>
        </w:trPr>
        <w:tc>
          <w:tcPr>
            <w:tcMar>
              <w:left w:w="15" w:type="dxa"/>
              <w:top w:w="15" w:type="dxa"/>
              <w:right w:w="15" w:type="dxa"/>
            </w:tcMar>
            <w:tcW w:w="425"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16</w:t>
            </w:r>
            <w:r/>
          </w:p>
        </w:tc>
        <w:tc>
          <w:tcPr>
            <w:tcMar>
              <w:left w:w="15" w:type="dxa"/>
              <w:top w:w="15" w:type="dxa"/>
              <w:right w:w="15" w:type="dxa"/>
            </w:tcMar>
            <w:tcW w:w="701" w:type="dxa"/>
            <w:vAlign w:val="center"/>
            <w:vMerge w:val="continue"/>
            <w:textDirection w:val="lrTb"/>
            <w:noWrap w:val="false"/>
          </w:tcPr>
          <w:p>
            <w:pPr>
              <w:ind w:left="0"/>
              <w:jc w:val="center"/>
              <w:spacing w:line="360" w:lineRule="auto"/>
              <w:tabs>
                <w:tab w:val="left" w:pos="420" w:leader="none"/>
                <w:tab w:val="left" w:pos="540" w:leader="none"/>
              </w:tabs>
              <w:rPr>
                <w:rFonts w:ascii="宋体" w:hAnsi="宋体"/>
                <w:b/>
                <w:sz w:val="21"/>
              </w:rPr>
            </w:pPr>
            <w:r>
              <w:rPr>
                <w:rFonts w:ascii="宋体" w:hAnsi="宋体"/>
                <w:b/>
                <w:sz w:val="21"/>
              </w:rPr>
            </w:r>
            <w:r/>
          </w:p>
        </w:tc>
        <w:tc>
          <w:tcPr>
            <w:tcMar>
              <w:left w:w="15" w:type="dxa"/>
              <w:top w:w="15" w:type="dxa"/>
              <w:right w:w="15" w:type="dxa"/>
            </w:tcMar>
            <w:tcW w:w="2134"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鼠标展线成品下料设备</w:t>
            </w:r>
            <w:r/>
          </w:p>
        </w:tc>
        <w:tc>
          <w:tcPr>
            <w:tcMar>
              <w:left w:w="15" w:type="dxa"/>
              <w:top w:w="15" w:type="dxa"/>
              <w:right w:w="15" w:type="dxa"/>
            </w:tcMar>
            <w:tcW w:w="48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故障处理：喷码机不喷码、料仓出库报警。</w:t>
            </w:r>
            <w:r/>
          </w:p>
        </w:tc>
        <w:tc>
          <w:tcPr>
            <w:tcMar>
              <w:left w:w="15" w:type="dxa"/>
              <w:top w:w="15" w:type="dxa"/>
              <w:right w:w="15" w:type="dxa"/>
            </w:tcMar>
            <w:tcW w:w="1559" w:type="dxa"/>
            <w:vAlign w:val="center"/>
            <w:vMerge w:val="continue"/>
            <w:textDirection w:val="lrTb"/>
            <w:noWrap w:val="false"/>
          </w:tcPr>
          <w:p>
            <w:pPr>
              <w:ind w:left="0"/>
              <w:spacing w:line="360" w:lineRule="auto"/>
              <w:tabs>
                <w:tab w:val="left" w:pos="420" w:leader="none"/>
                <w:tab w:val="left" w:pos="540" w:leader="none"/>
              </w:tabs>
              <w:rPr>
                <w:rFonts w:ascii="宋体" w:hAnsi="宋体"/>
                <w:sz w:val="21"/>
              </w:rPr>
            </w:pPr>
            <w:r>
              <w:rPr>
                <w:rFonts w:ascii="宋体" w:hAnsi="宋体"/>
                <w:sz w:val="21"/>
              </w:rPr>
            </w:r>
            <w:r/>
          </w:p>
        </w:tc>
      </w:tr>
      <w:tr>
        <w:trPr>
          <w:trHeight w:val="265"/>
        </w:trPr>
        <w:tc>
          <w:tcPr>
            <w:tcMar>
              <w:left w:w="15" w:type="dxa"/>
              <w:top w:w="15" w:type="dxa"/>
              <w:right w:w="15" w:type="dxa"/>
            </w:tcMar>
            <w:tcW w:w="425"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17</w:t>
            </w:r>
            <w:r/>
          </w:p>
        </w:tc>
        <w:tc>
          <w:tcPr>
            <w:tcMar>
              <w:left w:w="15" w:type="dxa"/>
              <w:top w:w="15" w:type="dxa"/>
              <w:right w:w="15" w:type="dxa"/>
            </w:tcMar>
            <w:tcW w:w="701" w:type="dxa"/>
            <w:vAlign w:val="center"/>
            <w:vMerge w:val="restart"/>
            <w:textDirection w:val="lrTb"/>
            <w:noWrap/>
          </w:tcPr>
          <w:p>
            <w:pPr>
              <w:ind w:left="0"/>
              <w:jc w:val="center"/>
              <w:spacing w:line="360" w:lineRule="auto"/>
              <w:tabs>
                <w:tab w:val="left" w:pos="420" w:leader="none"/>
                <w:tab w:val="left" w:pos="540" w:leader="none"/>
              </w:tabs>
              <w:rPr>
                <w:rFonts w:ascii="宋体" w:hAnsi="宋体"/>
                <w:b/>
                <w:sz w:val="21"/>
              </w:rPr>
            </w:pPr>
            <w:r>
              <w:rPr>
                <w:rFonts w:hint="eastAsia" w:ascii="宋体" w:hAnsi="宋体"/>
                <w:b/>
                <w:sz w:val="21"/>
              </w:rPr>
              <w:t xml:space="preserve">硬件</w:t>
            </w:r>
            <w:r/>
          </w:p>
        </w:tc>
        <w:tc>
          <w:tcPr>
            <w:tcMar>
              <w:left w:w="15" w:type="dxa"/>
              <w:top w:w="15" w:type="dxa"/>
              <w:right w:w="15" w:type="dxa"/>
            </w:tcMar>
            <w:tcW w:w="2134"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鼠标展线CASE上料及拆盖工站</w:t>
            </w:r>
            <w:r/>
          </w:p>
        </w:tc>
        <w:tc>
          <w:tcPr>
            <w:tcMar>
              <w:left w:w="15" w:type="dxa"/>
              <w:top w:w="15" w:type="dxa"/>
              <w:right w:w="15" w:type="dxa"/>
            </w:tcMar>
            <w:tcW w:w="48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易损件点检及更换：（易损件清单）直线导轨、滚珠导向轴、滚珠轴承、C型扣环、11-21下盖定位板、11-22上盖仿形吸取块01、圆型橡胶绳、12-16a0001、12-17－镜向12-16a0001、05-32尾部仿形0001、05-33镜向05-32尾部仿形0001、05-29上盖仿形块、05-04夹子1-01、05-05夹子2-01、05-11定位头-01、05-10压紧。块-01、真空吸盘、电磁阀、圆线螺旋弹簧。</w:t>
            </w:r>
            <w:r/>
          </w:p>
        </w:tc>
        <w:tc>
          <w:tcPr>
            <w:tcMar>
              <w:left w:w="15" w:type="dxa"/>
              <w:top w:w="15" w:type="dxa"/>
              <w:right w:w="15" w:type="dxa"/>
            </w:tcMar>
            <w:tcW w:w="1559" w:type="dxa"/>
            <w:vAlign w:val="center"/>
            <w:vMerge w:val="restart"/>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需每年对设备进行2次停机检修，包含更换易损件。</w:t>
            </w:r>
            <w:r/>
          </w:p>
        </w:tc>
      </w:tr>
      <w:tr>
        <w:trPr>
          <w:trHeight w:val="1100"/>
        </w:trPr>
        <w:tc>
          <w:tcPr>
            <w:tcMar>
              <w:left w:w="15" w:type="dxa"/>
              <w:top w:w="15" w:type="dxa"/>
              <w:right w:w="15" w:type="dxa"/>
            </w:tcMar>
            <w:tcW w:w="425"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18</w:t>
            </w:r>
            <w:r/>
          </w:p>
        </w:tc>
        <w:tc>
          <w:tcPr>
            <w:tcMar>
              <w:left w:w="15" w:type="dxa"/>
              <w:top w:w="15" w:type="dxa"/>
              <w:right w:w="15" w:type="dxa"/>
            </w:tcMar>
            <w:tcW w:w="701" w:type="dxa"/>
            <w:vAlign w:val="center"/>
            <w:vMerge w:val="continue"/>
            <w:textDirection w:val="lrTb"/>
            <w:noWrap/>
          </w:tcPr>
          <w:p>
            <w:pPr>
              <w:ind w:left="0"/>
              <w:jc w:val="center"/>
              <w:spacing w:line="360" w:lineRule="auto"/>
              <w:tabs>
                <w:tab w:val="left" w:pos="420" w:leader="none"/>
                <w:tab w:val="left" w:pos="540" w:leader="none"/>
              </w:tabs>
              <w:rPr>
                <w:rFonts w:ascii="宋体" w:hAnsi="宋体"/>
                <w:b/>
                <w:sz w:val="21"/>
              </w:rPr>
            </w:pPr>
            <w:r>
              <w:rPr>
                <w:rFonts w:ascii="宋体" w:hAnsi="宋体"/>
                <w:b/>
                <w:sz w:val="21"/>
              </w:rPr>
            </w:r>
            <w:r/>
          </w:p>
        </w:tc>
        <w:tc>
          <w:tcPr>
            <w:tcMar>
              <w:left w:w="15" w:type="dxa"/>
              <w:top w:w="15" w:type="dxa"/>
              <w:right w:w="15" w:type="dxa"/>
            </w:tcMar>
            <w:tcW w:w="2134"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鼠标展线LENS上料及组装工站</w:t>
            </w:r>
            <w:r/>
          </w:p>
        </w:tc>
        <w:tc>
          <w:tcPr>
            <w:tcMar>
              <w:left w:w="15" w:type="dxa"/>
              <w:top w:w="15" w:type="dxa"/>
              <w:right w:w="15" w:type="dxa"/>
            </w:tcMar>
            <w:tcW w:w="48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易损件点检及更换：（易损件清单）滚珠导向轴、圆线螺旋弹簧、直线导轨、整体型探针、06-006弹性压块-02、06-007限位块-02、07-07LENS机械手夹爪。</w:t>
            </w:r>
            <w:r/>
          </w:p>
        </w:tc>
        <w:tc>
          <w:tcPr>
            <w:tcMar>
              <w:left w:w="15" w:type="dxa"/>
              <w:top w:w="15" w:type="dxa"/>
              <w:right w:w="15" w:type="dxa"/>
            </w:tcMar>
            <w:tcW w:w="1559" w:type="dxa"/>
            <w:vAlign w:val="center"/>
            <w:vMerge w:val="continue"/>
            <w:textDirection w:val="lrTb"/>
            <w:noWrap w:val="false"/>
          </w:tcPr>
          <w:p>
            <w:pPr>
              <w:ind w:left="0"/>
              <w:spacing w:line="360" w:lineRule="auto"/>
              <w:tabs>
                <w:tab w:val="left" w:pos="420" w:leader="none"/>
                <w:tab w:val="left" w:pos="540" w:leader="none"/>
              </w:tabs>
              <w:rPr>
                <w:rFonts w:ascii="宋体" w:hAnsi="宋体"/>
                <w:sz w:val="21"/>
              </w:rPr>
            </w:pPr>
            <w:r>
              <w:rPr>
                <w:rFonts w:ascii="宋体" w:hAnsi="宋体"/>
                <w:sz w:val="21"/>
              </w:rPr>
            </w:r>
            <w:r/>
          </w:p>
        </w:tc>
      </w:tr>
      <w:tr>
        <w:trPr>
          <w:trHeight w:val="1020"/>
        </w:trPr>
        <w:tc>
          <w:tcPr>
            <w:tcMar>
              <w:left w:w="15" w:type="dxa"/>
              <w:top w:w="15" w:type="dxa"/>
              <w:right w:w="15" w:type="dxa"/>
            </w:tcMar>
            <w:tcW w:w="425"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19</w:t>
            </w:r>
            <w:r/>
          </w:p>
        </w:tc>
        <w:tc>
          <w:tcPr>
            <w:tcMar>
              <w:left w:w="15" w:type="dxa"/>
              <w:top w:w="15" w:type="dxa"/>
              <w:right w:w="15" w:type="dxa"/>
            </w:tcMar>
            <w:tcW w:w="701" w:type="dxa"/>
            <w:vAlign w:val="center"/>
            <w:vMerge w:val="continue"/>
            <w:textDirection w:val="lrTb"/>
            <w:noWrap/>
          </w:tcPr>
          <w:p>
            <w:pPr>
              <w:ind w:left="0"/>
              <w:jc w:val="center"/>
              <w:spacing w:line="360" w:lineRule="auto"/>
              <w:tabs>
                <w:tab w:val="left" w:pos="420" w:leader="none"/>
                <w:tab w:val="left" w:pos="540" w:leader="none"/>
              </w:tabs>
              <w:rPr>
                <w:rFonts w:ascii="宋体" w:hAnsi="宋体"/>
                <w:b/>
                <w:sz w:val="21"/>
              </w:rPr>
            </w:pPr>
            <w:r>
              <w:rPr>
                <w:rFonts w:ascii="宋体" w:hAnsi="宋体"/>
                <w:b/>
                <w:sz w:val="21"/>
              </w:rPr>
            </w:r>
            <w:r/>
          </w:p>
        </w:tc>
        <w:tc>
          <w:tcPr>
            <w:tcMar>
              <w:left w:w="15" w:type="dxa"/>
              <w:top w:w="15" w:type="dxa"/>
              <w:right w:w="15" w:type="dxa"/>
            </w:tcMar>
            <w:tcW w:w="2134"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鼠标展线开关上料及组装工站</w:t>
            </w:r>
            <w:r/>
          </w:p>
        </w:tc>
        <w:tc>
          <w:tcPr>
            <w:tcMar>
              <w:left w:w="15" w:type="dxa"/>
              <w:top w:w="15" w:type="dxa"/>
              <w:right w:w="15" w:type="dxa"/>
            </w:tcMar>
            <w:tcW w:w="48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易损件点检及更换：（易损件清单）滚珠导向轴、圆线螺旋弹簧、直线导轨、整体型探针、真空吸盘、C型扣环。</w:t>
            </w:r>
            <w:r/>
          </w:p>
        </w:tc>
        <w:tc>
          <w:tcPr>
            <w:tcMar>
              <w:left w:w="15" w:type="dxa"/>
              <w:top w:w="15" w:type="dxa"/>
              <w:right w:w="15" w:type="dxa"/>
            </w:tcMar>
            <w:tcW w:w="1559" w:type="dxa"/>
            <w:vAlign w:val="center"/>
            <w:vMerge w:val="continue"/>
            <w:textDirection w:val="lrTb"/>
            <w:noWrap w:val="false"/>
          </w:tcPr>
          <w:p>
            <w:pPr>
              <w:ind w:left="0"/>
              <w:spacing w:line="360" w:lineRule="auto"/>
              <w:tabs>
                <w:tab w:val="left" w:pos="420" w:leader="none"/>
                <w:tab w:val="left" w:pos="540" w:leader="none"/>
              </w:tabs>
              <w:rPr>
                <w:rFonts w:ascii="宋体" w:hAnsi="宋体"/>
                <w:sz w:val="21"/>
              </w:rPr>
            </w:pPr>
            <w:r>
              <w:rPr>
                <w:rFonts w:ascii="宋体" w:hAnsi="宋体"/>
                <w:sz w:val="21"/>
              </w:rPr>
            </w:r>
            <w:r/>
          </w:p>
        </w:tc>
      </w:tr>
      <w:tr>
        <w:trPr>
          <w:trHeight w:val="820"/>
        </w:trPr>
        <w:tc>
          <w:tcPr>
            <w:tcMar>
              <w:left w:w="15" w:type="dxa"/>
              <w:top w:w="15" w:type="dxa"/>
              <w:right w:w="15" w:type="dxa"/>
            </w:tcMar>
            <w:tcW w:w="425"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20</w:t>
            </w:r>
            <w:r/>
          </w:p>
        </w:tc>
        <w:tc>
          <w:tcPr>
            <w:tcMar>
              <w:left w:w="15" w:type="dxa"/>
              <w:top w:w="15" w:type="dxa"/>
              <w:right w:w="15" w:type="dxa"/>
            </w:tcMar>
            <w:tcW w:w="701" w:type="dxa"/>
            <w:vAlign w:val="center"/>
            <w:vMerge w:val="continue"/>
            <w:textDirection w:val="lrTb"/>
            <w:noWrap/>
          </w:tcPr>
          <w:p>
            <w:pPr>
              <w:ind w:left="0"/>
              <w:jc w:val="center"/>
              <w:spacing w:line="360" w:lineRule="auto"/>
              <w:tabs>
                <w:tab w:val="left" w:pos="420" w:leader="none"/>
                <w:tab w:val="left" w:pos="540" w:leader="none"/>
              </w:tabs>
              <w:rPr>
                <w:rFonts w:ascii="宋体" w:hAnsi="宋体"/>
                <w:b/>
                <w:sz w:val="21"/>
              </w:rPr>
            </w:pPr>
            <w:r>
              <w:rPr>
                <w:rFonts w:ascii="宋体" w:hAnsi="宋体"/>
                <w:b/>
                <w:sz w:val="21"/>
              </w:rPr>
            </w:r>
            <w:r/>
          </w:p>
        </w:tc>
        <w:tc>
          <w:tcPr>
            <w:tcMar>
              <w:left w:w="15" w:type="dxa"/>
              <w:top w:w="15" w:type="dxa"/>
              <w:right w:w="15" w:type="dxa"/>
            </w:tcMar>
            <w:tcW w:w="2134"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鼠标展线PWA上料及组装工站</w:t>
            </w:r>
            <w:r/>
          </w:p>
        </w:tc>
        <w:tc>
          <w:tcPr>
            <w:tcMar>
              <w:left w:w="15" w:type="dxa"/>
              <w:top w:w="15" w:type="dxa"/>
              <w:right w:w="15" w:type="dxa"/>
            </w:tcMar>
            <w:tcW w:w="48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易损件点检及更换：（易损件清单）滚珠导向轴、圆线螺旋弹簧、直线导轨、带聚氨酯止动螺栓、05-33Lens夹爪B、钢珠滚轮、回转夹紧气缸、06-18 PWA</w:t>
            </w:r>
            <w:r>
              <w:rPr>
                <w:rFonts w:hint="eastAsia" w:ascii="宋体" w:hAnsi="宋体"/>
                <w:sz w:val="21"/>
              </w:rPr>
              <w:t xml:space="preserve">压块A、11-19 预压柱、11-20 PEEK顶块、真空吸盘、C型扣环。</w:t>
            </w:r>
            <w:r/>
          </w:p>
        </w:tc>
        <w:tc>
          <w:tcPr>
            <w:tcMar>
              <w:left w:w="15" w:type="dxa"/>
              <w:top w:w="15" w:type="dxa"/>
              <w:right w:w="15" w:type="dxa"/>
            </w:tcMar>
            <w:tcW w:w="1559" w:type="dxa"/>
            <w:vAlign w:val="center"/>
            <w:vMerge w:val="continue"/>
            <w:textDirection w:val="lrTb"/>
            <w:noWrap w:val="false"/>
          </w:tcPr>
          <w:p>
            <w:pPr>
              <w:ind w:left="0"/>
              <w:spacing w:line="360" w:lineRule="auto"/>
              <w:tabs>
                <w:tab w:val="left" w:pos="420" w:leader="none"/>
                <w:tab w:val="left" w:pos="540" w:leader="none"/>
              </w:tabs>
              <w:rPr>
                <w:rFonts w:ascii="宋体" w:hAnsi="宋体"/>
                <w:sz w:val="21"/>
              </w:rPr>
            </w:pPr>
            <w:r>
              <w:rPr>
                <w:rFonts w:ascii="宋体" w:hAnsi="宋体"/>
                <w:sz w:val="21"/>
              </w:rPr>
            </w:r>
            <w:r/>
          </w:p>
        </w:tc>
      </w:tr>
      <w:tr>
        <w:trPr>
          <w:trHeight w:val="1460"/>
        </w:trPr>
        <w:tc>
          <w:tcPr>
            <w:tcMar>
              <w:left w:w="15" w:type="dxa"/>
              <w:top w:w="15" w:type="dxa"/>
              <w:right w:w="15" w:type="dxa"/>
            </w:tcMar>
            <w:tcW w:w="425"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21</w:t>
            </w:r>
            <w:r/>
          </w:p>
        </w:tc>
        <w:tc>
          <w:tcPr>
            <w:tcMar>
              <w:left w:w="15" w:type="dxa"/>
              <w:top w:w="15" w:type="dxa"/>
              <w:right w:w="15" w:type="dxa"/>
            </w:tcMar>
            <w:tcW w:w="701" w:type="dxa"/>
            <w:vAlign w:val="center"/>
            <w:vMerge w:val="continue"/>
            <w:textDirection w:val="lrTb"/>
            <w:noWrap/>
          </w:tcPr>
          <w:p>
            <w:pPr>
              <w:ind w:left="0"/>
              <w:jc w:val="center"/>
              <w:spacing w:line="360" w:lineRule="auto"/>
              <w:tabs>
                <w:tab w:val="left" w:pos="420" w:leader="none"/>
                <w:tab w:val="left" w:pos="540" w:leader="none"/>
              </w:tabs>
              <w:rPr>
                <w:rFonts w:ascii="宋体" w:hAnsi="宋体"/>
                <w:b/>
                <w:sz w:val="21"/>
              </w:rPr>
            </w:pPr>
            <w:r>
              <w:rPr>
                <w:rFonts w:ascii="宋体" w:hAnsi="宋体"/>
                <w:b/>
                <w:sz w:val="21"/>
              </w:rPr>
            </w:r>
            <w:r/>
          </w:p>
        </w:tc>
        <w:tc>
          <w:tcPr>
            <w:tcMar>
              <w:left w:w="15" w:type="dxa"/>
              <w:top w:w="15" w:type="dxa"/>
              <w:right w:w="15" w:type="dxa"/>
            </w:tcMar>
            <w:tcW w:w="2134"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鼠标展线CASE扣合及锁付设备</w:t>
            </w:r>
            <w:r/>
          </w:p>
        </w:tc>
        <w:tc>
          <w:tcPr>
            <w:tcMar>
              <w:left w:w="15" w:type="dxa"/>
              <w:top w:w="15" w:type="dxa"/>
              <w:right w:w="15" w:type="dxa"/>
            </w:tcMar>
            <w:tcW w:w="48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易损件点检及更换：（易损件清单）活动软管、06-17鼠标下盖仿形、M2.3批头、11-21吸嘴、真空吸盘、圆型橡胶绳、07-17下盖夹爪、07-18下盖夹爪A、07-14下盖夹爪右-05、07-13下盖夹爪左-05、07-16上盖仿形。</w:t>
            </w:r>
            <w:r/>
          </w:p>
        </w:tc>
        <w:tc>
          <w:tcPr>
            <w:tcMar>
              <w:left w:w="15" w:type="dxa"/>
              <w:top w:w="15" w:type="dxa"/>
              <w:right w:w="15" w:type="dxa"/>
            </w:tcMar>
            <w:tcW w:w="1559" w:type="dxa"/>
            <w:vAlign w:val="center"/>
            <w:vMerge w:val="continue"/>
            <w:textDirection w:val="lrTb"/>
            <w:noWrap w:val="false"/>
          </w:tcPr>
          <w:p>
            <w:pPr>
              <w:ind w:left="0"/>
              <w:spacing w:line="360" w:lineRule="auto"/>
              <w:tabs>
                <w:tab w:val="left" w:pos="420" w:leader="none"/>
                <w:tab w:val="left" w:pos="540" w:leader="none"/>
              </w:tabs>
              <w:rPr>
                <w:rFonts w:ascii="宋体" w:hAnsi="宋体"/>
                <w:sz w:val="21"/>
              </w:rPr>
            </w:pPr>
            <w:r>
              <w:rPr>
                <w:rFonts w:ascii="宋体" w:hAnsi="宋体"/>
                <w:sz w:val="21"/>
              </w:rPr>
            </w:r>
            <w:r/>
          </w:p>
        </w:tc>
      </w:tr>
      <w:tr>
        <w:trPr>
          <w:trHeight w:val="1460"/>
        </w:trPr>
        <w:tc>
          <w:tcPr>
            <w:tcMar>
              <w:left w:w="15" w:type="dxa"/>
              <w:top w:w="15" w:type="dxa"/>
              <w:right w:w="15" w:type="dxa"/>
            </w:tcMar>
            <w:tcW w:w="425"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22</w:t>
            </w:r>
            <w:r/>
          </w:p>
        </w:tc>
        <w:tc>
          <w:tcPr>
            <w:tcMar>
              <w:left w:w="15" w:type="dxa"/>
              <w:top w:w="15" w:type="dxa"/>
              <w:right w:w="15" w:type="dxa"/>
            </w:tcMar>
            <w:tcW w:w="701" w:type="dxa"/>
            <w:vAlign w:val="center"/>
            <w:vMerge w:val="continue"/>
            <w:textDirection w:val="lrTb"/>
            <w:noWrap/>
          </w:tcPr>
          <w:p>
            <w:pPr>
              <w:ind w:left="0"/>
              <w:jc w:val="center"/>
              <w:spacing w:line="360" w:lineRule="auto"/>
              <w:tabs>
                <w:tab w:val="left" w:pos="420" w:leader="none"/>
                <w:tab w:val="left" w:pos="540" w:leader="none"/>
              </w:tabs>
              <w:rPr>
                <w:rFonts w:ascii="宋体" w:hAnsi="宋体"/>
                <w:b/>
                <w:sz w:val="21"/>
              </w:rPr>
            </w:pPr>
            <w:r>
              <w:rPr>
                <w:rFonts w:ascii="宋体" w:hAnsi="宋体"/>
                <w:b/>
                <w:sz w:val="21"/>
              </w:rPr>
            </w:r>
            <w:r/>
          </w:p>
        </w:tc>
        <w:tc>
          <w:tcPr>
            <w:tcMar>
              <w:left w:w="15" w:type="dxa"/>
              <w:top w:w="15" w:type="dxa"/>
              <w:right w:w="15" w:type="dxa"/>
            </w:tcMar>
            <w:tcW w:w="2134"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测试、接收器组装及镭雕设备</w:t>
            </w:r>
            <w:r/>
          </w:p>
        </w:tc>
        <w:tc>
          <w:tcPr>
            <w:tcMar>
              <w:left w:w="15" w:type="dxa"/>
              <w:top w:w="15" w:type="dxa"/>
              <w:right w:w="15" w:type="dxa"/>
            </w:tcMar>
            <w:tcW w:w="48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易损件点检及更换：（易损件清单）滚珠导向轴、圆线螺旋弹簧、直线导轨、C型扣环、05-01下盖仿形、05-19 下压仿形块、针形气缸、05-07滚轮、06-18测试站仿形块、06-19测试站翻转仿形块、07-18二次定位台、08-06上盖仿形块加长、圆型橡胶绳、11-17成品夹爪A、11-18成品夹爪B、真空吸盘。</w:t>
            </w:r>
            <w:r/>
          </w:p>
        </w:tc>
        <w:tc>
          <w:tcPr>
            <w:tcMar>
              <w:left w:w="15" w:type="dxa"/>
              <w:top w:w="15" w:type="dxa"/>
              <w:right w:w="15" w:type="dxa"/>
            </w:tcMar>
            <w:tcW w:w="1559" w:type="dxa"/>
            <w:vAlign w:val="center"/>
            <w:vMerge w:val="continue"/>
            <w:textDirection w:val="lrTb"/>
            <w:noWrap w:val="false"/>
          </w:tcPr>
          <w:p>
            <w:pPr>
              <w:ind w:left="0"/>
              <w:spacing w:line="360" w:lineRule="auto"/>
              <w:tabs>
                <w:tab w:val="left" w:pos="420" w:leader="none"/>
                <w:tab w:val="left" w:pos="540" w:leader="none"/>
              </w:tabs>
              <w:rPr>
                <w:rFonts w:ascii="宋体" w:hAnsi="宋体"/>
                <w:sz w:val="21"/>
              </w:rPr>
            </w:pPr>
            <w:r>
              <w:rPr>
                <w:rFonts w:ascii="宋体" w:hAnsi="宋体"/>
                <w:sz w:val="21"/>
              </w:rPr>
            </w:r>
            <w:r/>
          </w:p>
        </w:tc>
      </w:tr>
      <w:tr>
        <w:trPr>
          <w:trHeight w:val="1460"/>
        </w:trPr>
        <w:tc>
          <w:tcPr>
            <w:tcMar>
              <w:left w:w="15" w:type="dxa"/>
              <w:top w:w="15" w:type="dxa"/>
              <w:right w:w="15" w:type="dxa"/>
            </w:tcMar>
            <w:tcW w:w="425"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23</w:t>
            </w:r>
            <w:r/>
          </w:p>
        </w:tc>
        <w:tc>
          <w:tcPr>
            <w:tcMar>
              <w:left w:w="15" w:type="dxa"/>
              <w:top w:w="15" w:type="dxa"/>
              <w:right w:w="15" w:type="dxa"/>
            </w:tcMar>
            <w:tcW w:w="701" w:type="dxa"/>
            <w:vAlign w:val="center"/>
            <w:vMerge w:val="continue"/>
            <w:textDirection w:val="lrTb"/>
            <w:noWrap/>
          </w:tcPr>
          <w:p>
            <w:pPr>
              <w:ind w:left="0"/>
              <w:jc w:val="center"/>
              <w:spacing w:line="360" w:lineRule="auto"/>
              <w:tabs>
                <w:tab w:val="left" w:pos="420" w:leader="none"/>
                <w:tab w:val="left" w:pos="540" w:leader="none"/>
              </w:tabs>
              <w:rPr>
                <w:rFonts w:ascii="宋体" w:hAnsi="宋体"/>
                <w:b/>
                <w:sz w:val="21"/>
              </w:rPr>
            </w:pPr>
            <w:r>
              <w:rPr>
                <w:rFonts w:ascii="宋体" w:hAnsi="宋体"/>
                <w:b/>
                <w:sz w:val="21"/>
              </w:rPr>
            </w:r>
            <w:r/>
          </w:p>
        </w:tc>
        <w:tc>
          <w:tcPr>
            <w:tcMar>
              <w:left w:w="15" w:type="dxa"/>
              <w:top w:w="15" w:type="dxa"/>
              <w:right w:w="15" w:type="dxa"/>
            </w:tcMar>
            <w:tcW w:w="2134"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鼠标展线电池盖组装及包装工站</w:t>
            </w:r>
            <w:r/>
          </w:p>
        </w:tc>
        <w:tc>
          <w:tcPr>
            <w:tcMar>
              <w:left w:w="15" w:type="dxa"/>
              <w:top w:w="15" w:type="dxa"/>
              <w:right w:w="15" w:type="dxa"/>
            </w:tcMar>
            <w:tcW w:w="48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易损件点检及更换：（易损件清单）圆线螺旋弹簧、滚珠导向轴、真空吸盘、C型扣环、03-52优力胶缓冲垫、浮动接头、05-16 成品盒支撑板-08-08、06-27－右仿形、06-28左仿形、06-18 电池夹爪-08-01、07-15吸成品、滚珠轴承、滑轨。</w:t>
            </w:r>
            <w:r/>
          </w:p>
        </w:tc>
        <w:tc>
          <w:tcPr>
            <w:tcMar>
              <w:left w:w="15" w:type="dxa"/>
              <w:top w:w="15" w:type="dxa"/>
              <w:right w:w="15" w:type="dxa"/>
            </w:tcMar>
            <w:tcW w:w="1559" w:type="dxa"/>
            <w:vAlign w:val="center"/>
            <w:vMerge w:val="continue"/>
            <w:textDirection w:val="lrTb"/>
            <w:noWrap w:val="false"/>
          </w:tcPr>
          <w:p>
            <w:pPr>
              <w:ind w:left="0"/>
              <w:spacing w:line="360" w:lineRule="auto"/>
              <w:tabs>
                <w:tab w:val="left" w:pos="420" w:leader="none"/>
                <w:tab w:val="left" w:pos="540" w:leader="none"/>
              </w:tabs>
              <w:rPr>
                <w:rFonts w:ascii="宋体" w:hAnsi="宋体"/>
                <w:sz w:val="21"/>
              </w:rPr>
            </w:pPr>
            <w:r>
              <w:rPr>
                <w:rFonts w:ascii="宋体" w:hAnsi="宋体"/>
                <w:sz w:val="21"/>
              </w:rPr>
            </w:r>
            <w:r/>
          </w:p>
        </w:tc>
      </w:tr>
      <w:tr>
        <w:trPr>
          <w:trHeight w:val="760"/>
        </w:trPr>
        <w:tc>
          <w:tcPr>
            <w:tcMar>
              <w:left w:w="15" w:type="dxa"/>
              <w:top w:w="15" w:type="dxa"/>
              <w:right w:w="15" w:type="dxa"/>
            </w:tcMar>
            <w:tcW w:w="425"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24</w:t>
            </w:r>
            <w:r/>
          </w:p>
        </w:tc>
        <w:tc>
          <w:tcPr>
            <w:tcMar>
              <w:left w:w="15" w:type="dxa"/>
              <w:top w:w="15" w:type="dxa"/>
              <w:right w:w="15" w:type="dxa"/>
            </w:tcMar>
            <w:tcW w:w="701" w:type="dxa"/>
            <w:vAlign w:val="center"/>
            <w:vMerge w:val="continue"/>
            <w:textDirection w:val="lrTb"/>
            <w:noWrap/>
          </w:tcPr>
          <w:p>
            <w:pPr>
              <w:ind w:left="0"/>
              <w:jc w:val="center"/>
              <w:spacing w:line="360" w:lineRule="auto"/>
              <w:tabs>
                <w:tab w:val="left" w:pos="420" w:leader="none"/>
                <w:tab w:val="left" w:pos="540" w:leader="none"/>
              </w:tabs>
              <w:rPr>
                <w:rFonts w:ascii="宋体" w:hAnsi="宋体"/>
                <w:b/>
                <w:sz w:val="21"/>
              </w:rPr>
            </w:pPr>
            <w:r>
              <w:rPr>
                <w:rFonts w:ascii="宋体" w:hAnsi="宋体"/>
                <w:b/>
                <w:sz w:val="21"/>
              </w:rPr>
            </w:r>
            <w:r/>
          </w:p>
        </w:tc>
        <w:tc>
          <w:tcPr>
            <w:tcMar>
              <w:left w:w="15" w:type="dxa"/>
              <w:top w:w="15" w:type="dxa"/>
              <w:right w:w="15" w:type="dxa"/>
            </w:tcMar>
            <w:tcW w:w="2134"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成品下料和储料设备</w:t>
            </w:r>
            <w:r/>
          </w:p>
        </w:tc>
        <w:tc>
          <w:tcPr>
            <w:tcMar>
              <w:left w:w="15" w:type="dxa"/>
              <w:top w:w="15" w:type="dxa"/>
              <w:right w:w="15" w:type="dxa"/>
            </w:tcMar>
            <w:tcW w:w="48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易损件点检及更换：（易损件清单）04-03连接板-09。</w:t>
            </w:r>
            <w:r/>
          </w:p>
        </w:tc>
        <w:tc>
          <w:tcPr>
            <w:tcMar>
              <w:left w:w="15" w:type="dxa"/>
              <w:top w:w="15" w:type="dxa"/>
              <w:right w:w="15" w:type="dxa"/>
            </w:tcMar>
            <w:tcW w:w="1559" w:type="dxa"/>
            <w:vAlign w:val="center"/>
            <w:vMerge w:val="continue"/>
            <w:textDirection w:val="lrTb"/>
            <w:noWrap w:val="false"/>
          </w:tcPr>
          <w:p>
            <w:pPr>
              <w:ind w:left="0"/>
              <w:spacing w:line="360" w:lineRule="auto"/>
              <w:tabs>
                <w:tab w:val="left" w:pos="420" w:leader="none"/>
                <w:tab w:val="left" w:pos="540" w:leader="none"/>
              </w:tabs>
              <w:rPr>
                <w:rFonts w:ascii="宋体" w:hAnsi="宋体"/>
                <w:sz w:val="21"/>
              </w:rPr>
            </w:pPr>
            <w:r>
              <w:rPr>
                <w:rFonts w:ascii="宋体" w:hAnsi="宋体"/>
                <w:sz w:val="21"/>
              </w:rPr>
            </w:r>
            <w:r/>
          </w:p>
        </w:tc>
      </w:tr>
      <w:tr>
        <w:trPr>
          <w:trHeight w:val="1160"/>
        </w:trPr>
        <w:tc>
          <w:tcPr>
            <w:tcMar>
              <w:left w:w="15" w:type="dxa"/>
              <w:top w:w="15" w:type="dxa"/>
              <w:right w:w="15" w:type="dxa"/>
            </w:tcMar>
            <w:tcW w:w="425"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25</w:t>
            </w:r>
            <w:r/>
          </w:p>
        </w:tc>
        <w:tc>
          <w:tcPr>
            <w:tcMar>
              <w:left w:w="15" w:type="dxa"/>
              <w:top w:w="15" w:type="dxa"/>
              <w:right w:w="15" w:type="dxa"/>
            </w:tcMar>
            <w:tcW w:w="701" w:type="dxa"/>
            <w:vAlign w:val="center"/>
            <w:textDirection w:val="lrTb"/>
            <w:noWrap/>
          </w:tcPr>
          <w:p>
            <w:pPr>
              <w:ind w:left="0"/>
              <w:jc w:val="center"/>
              <w:spacing w:line="360" w:lineRule="auto"/>
              <w:tabs>
                <w:tab w:val="left" w:pos="420" w:leader="none"/>
                <w:tab w:val="left" w:pos="540" w:leader="none"/>
              </w:tabs>
              <w:rPr>
                <w:rFonts w:ascii="宋体" w:hAnsi="宋体"/>
                <w:b/>
                <w:sz w:val="21"/>
              </w:rPr>
            </w:pPr>
            <w:r>
              <w:rPr>
                <w:rFonts w:hint="eastAsia" w:ascii="宋体" w:hAnsi="宋体"/>
                <w:b/>
                <w:sz w:val="21"/>
              </w:rPr>
              <w:t xml:space="preserve">软件</w:t>
            </w:r>
            <w:r/>
          </w:p>
        </w:tc>
        <w:tc>
          <w:tcPr>
            <w:tcMar>
              <w:left w:w="15" w:type="dxa"/>
              <w:top w:w="15" w:type="dxa"/>
              <w:right w:w="15" w:type="dxa"/>
            </w:tcMar>
            <w:tcW w:w="2134"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鼠标线、立体仓储及物流设备等</w:t>
            </w:r>
            <w:r/>
          </w:p>
        </w:tc>
        <w:tc>
          <w:tcPr>
            <w:tcMar>
              <w:left w:w="15" w:type="dxa"/>
              <w:top w:w="15" w:type="dxa"/>
              <w:right w:w="15" w:type="dxa"/>
            </w:tcMar>
            <w:tcW w:w="48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鼠标生产线的机械手软件维护升级、配套AGV物流系统软件维护升级、信息化及MES软件升级，数据库更新整理。</w:t>
            </w:r>
            <w:r/>
          </w:p>
        </w:tc>
        <w:tc>
          <w:tcPr>
            <w:tcMar>
              <w:left w:w="15" w:type="dxa"/>
              <w:top w:w="15" w:type="dxa"/>
              <w:right w:w="15" w:type="dxa"/>
            </w:tcMar>
            <w:tcW w:w="1559"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需每年对前述设备进行2次系统维护，包含数据库更新。</w:t>
            </w:r>
            <w:r/>
          </w:p>
        </w:tc>
      </w:tr>
      <w:tr>
        <w:trPr>
          <w:trHeight w:val="1460"/>
        </w:trPr>
        <w:tc>
          <w:tcPr>
            <w:tcMar>
              <w:left w:w="15" w:type="dxa"/>
              <w:top w:w="15" w:type="dxa"/>
              <w:right w:w="15" w:type="dxa"/>
            </w:tcMar>
            <w:tcW w:w="425" w:type="dxa"/>
            <w:vAlign w:val="center"/>
            <w:textDirection w:val="lrTb"/>
            <w:noWrap/>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26</w:t>
            </w:r>
            <w:r/>
          </w:p>
        </w:tc>
        <w:tc>
          <w:tcPr>
            <w:tcMar>
              <w:left w:w="15" w:type="dxa"/>
              <w:top w:w="15" w:type="dxa"/>
              <w:right w:w="15" w:type="dxa"/>
            </w:tcMar>
            <w:tcW w:w="701" w:type="dxa"/>
            <w:vAlign w:val="center"/>
            <w:textDirection w:val="lrTb"/>
            <w:noWrap/>
          </w:tcPr>
          <w:p>
            <w:pPr>
              <w:ind w:left="0"/>
              <w:jc w:val="center"/>
              <w:spacing w:line="360" w:lineRule="auto"/>
              <w:tabs>
                <w:tab w:val="left" w:pos="420" w:leader="none"/>
                <w:tab w:val="left" w:pos="540" w:leader="none"/>
              </w:tabs>
              <w:rPr>
                <w:rFonts w:ascii="宋体" w:hAnsi="宋体"/>
                <w:b/>
                <w:sz w:val="21"/>
              </w:rPr>
            </w:pPr>
            <w:r>
              <w:rPr>
                <w:rFonts w:hint="eastAsia" w:ascii="宋体" w:hAnsi="宋体"/>
                <w:b/>
                <w:sz w:val="21"/>
              </w:rPr>
              <w:t xml:space="preserve">生产材料</w:t>
            </w:r>
            <w:r/>
          </w:p>
        </w:tc>
        <w:tc>
          <w:tcPr>
            <w:tcMar>
              <w:left w:w="15" w:type="dxa"/>
              <w:top w:w="15" w:type="dxa"/>
              <w:right w:w="15" w:type="dxa"/>
            </w:tcMar>
            <w:tcW w:w="2134"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鼠标制造原材料及包装盒</w:t>
            </w:r>
            <w:r/>
          </w:p>
        </w:tc>
        <w:tc>
          <w:tcPr>
            <w:tcMar>
              <w:left w:w="15" w:type="dxa"/>
              <w:top w:w="15" w:type="dxa"/>
              <w:right w:w="15" w:type="dxa"/>
            </w:tcMar>
            <w:tcW w:w="4820"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线体定制配套鼠标零件包括：lens、开关键、PWA、树脂外观件、接收器、电池、包装盒等。</w:t>
            </w:r>
            <w:r/>
          </w:p>
        </w:tc>
        <w:tc>
          <w:tcPr>
            <w:tcMar>
              <w:left w:w="15" w:type="dxa"/>
              <w:top w:w="15" w:type="dxa"/>
              <w:right w:w="15" w:type="dxa"/>
            </w:tcMar>
            <w:tcW w:w="1559"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需每年提供与产线匹配的各类鼠标全套零部件及包装盒共计500套。</w:t>
            </w:r>
            <w:r/>
          </w:p>
        </w:tc>
      </w:tr>
    </w:tbl>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4.综合运营服务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需配备综合运营服务人员1名，主要负责参访、展厅讲解、接待数据收集汇总、会务运营等相关事宜，维护新媒体资讯内容，以及其他配合工作等。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5.服务人员工作要求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（1）在工作期间应坚守岗位、尽职尽责，不得擅离职守，不得闲聊、打闹，不得干私活，不得酗酒、抽烟、打瞌睡；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（2）在工作期间应严格遵守作息制度，不得迟到、早退，不得脱岗、旷工；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（3）在工作期间员工需统一着装，佩证上岗，服装费由中标单位承担；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（4）在工作期间员工需合理安排服务工作，及时、准确获得服务信息，并按下达的工作指令安全、准确、高效完成服务工作；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（5）在工作期间应坚持文明服务、礼貌用语，处理问题要分清是非、坚持原则、实事求是、以理服人、态度和蔼，不讲污言秽语，严禁打人、骂人、侮辱人格等侵权行为；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（6）应遵纪守法、秉公办事，严禁以权谋私、徇私舞弊；</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（7）上岗后未经许可不得擅自换岗；应做好详细的交接班记录、值班巡逻记录，以备检查；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（8）相互之间应和睦相处，杜绝争吵、打骂等违纪现象；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（9）服务人员发生意外伤害事故由成交单位负责；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（10）合理安排服务工作，及时，准确获得服务信息，并及时准确下达工作指令。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6、展厅预约程序软件升级要求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（1）新增个人预约管理模块，增加个人预约填写、预约提交、预约审核、现场核验、线下个人预约、预约历史记录查询及记录导出功能，支持个人通过微信小程序完成线上预约参观。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（2）优化小程序界面。修改团队预约信息填报界面，修改带队领导、领导职位为非必填字段，增加来访人数50上限限制；修改首页数字展区内容，支持首页默认展示4个展区，其他内容通过子页面展示。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（3）增加团队预约记录导出成excel功能，增加预约记录按日期查询功能。</w:t>
      </w:r>
      <w:r/>
    </w:p>
    <w:p>
      <w:pPr>
        <w:ind w:left="0" w:firstLine="420"/>
        <w:spacing w:line="360" w:lineRule="auto"/>
        <w:tabs>
          <w:tab w:val="left" w:pos="420" w:leader="none"/>
          <w:tab w:val="left" w:pos="540" w:leader="none"/>
        </w:tabs>
        <w:rPr>
          <w:rFonts w:ascii="宋体" w:hAnsi="宋体"/>
          <w:b/>
          <w:sz w:val="21"/>
        </w:rPr>
      </w:pPr>
      <w:r>
        <w:rPr>
          <w:rFonts w:hint="eastAsia" w:ascii="宋体" w:hAnsi="宋体"/>
          <w:sz w:val="21"/>
        </w:rPr>
        <w:t xml:space="preserve">（4）其他配合甲方修改的软件服务。</w:t>
      </w:r>
      <w:r/>
    </w:p>
    <w:p>
      <w:pPr>
        <w:ind w:left="0" w:firstLine="400"/>
        <w:spacing w:line="360" w:lineRule="auto"/>
        <w:tabs>
          <w:tab w:val="left" w:pos="420" w:leader="none"/>
          <w:tab w:val="left" w:pos="540" w:leader="none"/>
        </w:tabs>
      </w:pPr>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商务要求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一、交付时间与地点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（1）交付期限：中标方需在合同签订后10个工作日内完成展厅运营服务的全面落地，包括人员配置、设备调试及运营流程搭建，确保展厅正常投入使用。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（2）交付地点：江苏省苏州市高新区泰山路601号苏州市智能制造融合发展中心。</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二、付款条件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合同签订生效后，付款按季度支付，甲方每季度支付合同总金额的25%。甲方每次付款前，乙方应向甲方提供合法有效且符合甲方要求的发票和项目季度完成情况表，若乙方未按约提供的，甲方有权迟延付款且不承担迟延付款的违约责任。甲方收到发票后10个工作内将合同约定的金额付款至乙方账户。</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三、包装和运输</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（1）中标方为展厅运营配备的产线设备和机器人设备，需采用符合行业标准的包装方式，确保运输过</w:t>
      </w:r>
      <w:r>
        <w:rPr>
          <w:rFonts w:hint="eastAsia" w:ascii="宋体" w:hAnsi="宋体"/>
          <w:sz w:val="21"/>
        </w:rPr>
        <w:t xml:space="preserve">程中无损坏、无损耗。</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（2）运输责任由中标方承担，包括运输费用、保险费用及货物损耗风险，货物送达指定地点。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（3）若运输过程中出现设备损坏，中标方需在5个工作日内更换或维修，确保不影响服务交付进度。</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四、履约验收基本要求: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（2）采购文件、响应文件、政府采购合同等是履约验收工作的重要依据。在政府采购合同约定的履行验收条件达到时，中标供应商可以主动联系采购人启动履约验收工作。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（3）采购人将按照验收标准要求组织验收，验收内容和标准至少包括服务质量、用户满意度、服务过程文档资料、数据准确性等内容。</w:t>
      </w:r>
      <w:r/>
    </w:p>
    <w:p>
      <w:pPr>
        <w:pStyle w:val="868"/>
        <w:ind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68"/>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软件和信息技术服务业</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2"/>
        <w:ind w:left="0" w:firstLine="0"/>
        <w:jc w:val="center"/>
        <w:rPr>
          <w:rFonts w:ascii="宋体" w:hAnsi="宋体"/>
          <w:b/>
          <w:sz w:val="44"/>
          <w:szCs w:val="22"/>
        </w:rPr>
      </w:pPr>
      <w:r/>
      <w:bookmarkStart w:id="98" w:name="_Toc11789"/>
      <w:r/>
      <w:bookmarkStart w:id="99" w:name="_Toc5111"/>
      <w:r/>
      <w:bookmarkStart w:id="100" w:name="_Hlk55741158"/>
      <w:r>
        <w:rPr>
          <w:rFonts w:hint="eastAsia" w:ascii="宋体" w:hAnsi="宋体"/>
          <w:b/>
          <w:sz w:val="44"/>
          <w:szCs w:val="22"/>
        </w:rPr>
        <w:br w:type="page" w:clear="all"/>
      </w:r>
      <w:bookmarkStart w:id="101" w:name="_Toc105397794"/>
      <w:r>
        <w:rPr>
          <w:rFonts w:hint="eastAsia" w:ascii="宋体" w:hAnsi="宋体"/>
          <w:b/>
          <w:sz w:val="44"/>
          <w:szCs w:val="22"/>
        </w:rPr>
        <w:t xml:space="preserve">第五章 </w:t>
      </w:r>
      <w:bookmarkStart w:id="102" w:name="合同的特殊条款"/>
      <w:r/>
      <w:bookmarkEnd w:id="102"/>
      <w:r>
        <w:rPr>
          <w:rFonts w:hint="eastAsia" w:ascii="宋体" w:hAnsi="宋体"/>
          <w:b/>
          <w:sz w:val="44"/>
          <w:szCs w:val="22"/>
        </w:rPr>
        <w:t xml:space="preserve"> 合同及主要条款</w:t>
      </w:r>
      <w:bookmarkEnd w:id="98"/>
      <w:r/>
      <w:bookmarkEnd w:id="99"/>
      <w:r/>
      <w:bookmarkEnd w:id="101"/>
      <w:r/>
      <w:r/>
    </w:p>
    <w:p>
      <w:pPr>
        <w:ind w:left="0"/>
        <w:jc w:val="center"/>
        <w:rPr>
          <w:rFonts w:ascii="宋体" w:hAnsi="宋体"/>
          <w:b/>
          <w:sz w:val="32"/>
          <w:szCs w:val="32"/>
        </w:rPr>
      </w:pPr>
      <w:r/>
      <w:bookmarkStart w:id="103" w:name="_Toc57376410"/>
      <w:r/>
      <w:bookmarkStart w:id="104" w:name="_Toc8564"/>
      <w:r/>
      <w:bookmarkStart w:id="105" w:name="_Toc27667"/>
      <w:r/>
      <w:bookmarkEnd w:id="100"/>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highlight w:val="yellow"/>
        </w:rPr>
      </w:pPr>
      <w:r>
        <w:rPr>
          <w:rFonts w:hint="eastAsia" w:ascii="宋体" w:hAnsi="宋体"/>
          <w:sz w:val="21"/>
          <w:szCs w:val="21"/>
        </w:rPr>
        <w:t xml:space="preserve">（1）</w:t>
      </w:r>
      <w:r>
        <w:rPr>
          <w:rStyle w:val="908"/>
          <w:rFonts w:hint="eastAsia"/>
        </w:rPr>
        <w:t xml:space="preserve">合同签订生效后，付款按季度支付，甲方每季度支付合同总金额的</w:t>
      </w:r>
      <w:r>
        <w:rPr>
          <w:rStyle w:val="908"/>
          <w:rFonts w:hint="eastAsia"/>
        </w:rPr>
        <w:t xml:space="preserve">25%</w:t>
      </w:r>
      <w:r>
        <w:rPr>
          <w:rStyle w:val="908"/>
          <w:rFonts w:hint="eastAsia"/>
        </w:rPr>
        <w:t xml:space="preserve">。甲方每次付款前，乙方应向甲方提供合法有效且符合甲方要求的发票和项目季度完成情况表，若乙方未按约提供的，甲方有权迟延付款且不承担迟延付款的违约责任。甲方收到发票后</w:t>
      </w:r>
      <w:r>
        <w:rPr>
          <w:rStyle w:val="908"/>
          <w:rFonts w:hint="eastAsia"/>
        </w:rPr>
        <w:t xml:space="preserve">10</w:t>
      </w:r>
      <w:r>
        <w:rPr>
          <w:rStyle w:val="908"/>
          <w:rFonts w:hint="eastAsia"/>
        </w:rPr>
        <w:t xml:space="preserve">个工作内将合同约定的金额付款至乙方账户。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901"/>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901"/>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901"/>
        <w:ind w:left="400" w:firstLine="883"/>
        <w:rPr>
          <w:rFonts w:ascii="宋体" w:hAnsi="宋体"/>
          <w:b/>
          <w:sz w:val="44"/>
          <w:szCs w:val="22"/>
        </w:rPr>
      </w:pPr>
      <w:r/>
      <w:bookmarkStart w:id="106" w:name="_Toc105397795"/>
      <w:r>
        <w:rPr>
          <w:rFonts w:hint="eastAsia" w:ascii="宋体" w:hAnsi="宋体"/>
          <w:b/>
          <w:sz w:val="44"/>
          <w:szCs w:val="22"/>
        </w:rPr>
        <w:t xml:space="preserve"> </w:t>
      </w:r>
      <w:r/>
    </w:p>
    <w:p>
      <w:pPr>
        <w:pStyle w:val="901"/>
        <w:ind w:left="400" w:firstLine="883"/>
        <w:rPr>
          <w:rFonts w:ascii="宋体" w:hAnsi="宋体"/>
          <w:b/>
          <w:sz w:val="44"/>
          <w:szCs w:val="22"/>
        </w:rPr>
      </w:pPr>
      <w:r>
        <w:rPr>
          <w:rFonts w:hint="eastAsia" w:ascii="宋体" w:hAnsi="宋体"/>
          <w:b/>
          <w:sz w:val="44"/>
          <w:szCs w:val="22"/>
        </w:rPr>
        <w:br w:type="page" w:clear="all"/>
      </w:r>
      <w:r/>
    </w:p>
    <w:p>
      <w:pPr>
        <w:pStyle w:val="842"/>
        <w:ind w:left="0" w:firstLine="0"/>
        <w:jc w:val="center"/>
        <w:rPr>
          <w:rFonts w:ascii="宋体" w:hAnsi="宋体"/>
          <w:b/>
          <w:sz w:val="44"/>
          <w:szCs w:val="22"/>
        </w:rPr>
      </w:pPr>
      <w:r>
        <w:rPr>
          <w:rFonts w:hint="eastAsia" w:ascii="宋体" w:hAnsi="宋体"/>
          <w:b/>
          <w:sz w:val="44"/>
          <w:szCs w:val="22"/>
        </w:rPr>
        <w:t xml:space="preserve">第六章  </w:t>
      </w:r>
      <w:bookmarkStart w:id="107" w:name="评分要点"/>
      <w:r/>
      <w:bookmarkEnd w:id="107"/>
      <w:r>
        <w:rPr>
          <w:rFonts w:hint="eastAsia" w:ascii="宋体" w:hAnsi="宋体"/>
          <w:b/>
          <w:sz w:val="44"/>
          <w:szCs w:val="22"/>
        </w:rPr>
        <w:t xml:space="preserve">评标办法和评分标准</w:t>
      </w:r>
      <w:bookmarkEnd w:id="103"/>
      <w:r/>
      <w:bookmarkEnd w:id="104"/>
      <w:r/>
      <w:bookmarkEnd w:id="105"/>
      <w:r/>
      <w:bookmarkEnd w:id="106"/>
      <w:r/>
      <w:r/>
    </w:p>
    <w:p>
      <w:pPr>
        <w:ind w:left="0" w:firstLine="422"/>
        <w:spacing w:line="360" w:lineRule="auto"/>
        <w:rPr>
          <w:rFonts w:ascii="宋体" w:hAnsi="宋体"/>
          <w:b/>
          <w:sz w:val="21"/>
          <w:szCs w:val="21"/>
        </w:rPr>
      </w:pPr>
      <w:r/>
      <w:bookmarkStart w:id="108" w:name="_Toc698"/>
      <w:r/>
      <w:bookmarkStart w:id="109" w:name="_Toc16264"/>
      <w:r/>
      <w:bookmarkStart w:id="110" w:name="_Toc17476"/>
      <w:r>
        <w:rPr>
          <w:rFonts w:hint="eastAsia" w:ascii="宋体" w:hAnsi="宋体"/>
          <w:b/>
          <w:sz w:val="21"/>
          <w:szCs w:val="21"/>
        </w:rPr>
        <w:t xml:space="preserve">一、评标办法：</w:t>
      </w:r>
      <w:bookmarkEnd w:id="108"/>
      <w:r/>
      <w:bookmarkEnd w:id="109"/>
      <w:r/>
      <w:bookmarkEnd w:id="110"/>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4"/>
      </w:pPr>
      <w:r/>
      <w:r/>
    </w:p>
    <w:p>
      <w:r/>
      <w:r/>
    </w:p>
    <w:p>
      <w:pPr>
        <w:pStyle w:val="854"/>
      </w:pPr>
      <w:r/>
      <w:r/>
    </w:p>
    <w:p>
      <w:pPr>
        <w:pStyle w:val="860"/>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(一）价格分：</w:t>
      </w:r>
      <w:r>
        <w:rPr>
          <w:rFonts w:ascii="宋体" w:hAnsi="宋体"/>
          <w:b/>
          <w:bCs/>
          <w:sz w:val="21"/>
        </w:rPr>
        <w:t xml:space="preserve">20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w:t>
      </w:r>
      <w:r>
        <w:rPr>
          <w:rFonts w:ascii="宋体" w:hAnsi="宋体"/>
          <w:sz w:val="21"/>
        </w:rPr>
        <w:t xml:space="preserve">20</w:t>
      </w:r>
      <w:r>
        <w:rPr>
          <w:rFonts w:hint="eastAsia" w:ascii="宋体" w:hAnsi="宋体"/>
          <w:sz w:val="21"/>
        </w:rPr>
        <w:t xml:space="preserve">％×100</w:t>
      </w:r>
      <w:r/>
    </w:p>
    <w:p>
      <w:pPr>
        <w:pStyle w:val="854"/>
      </w:pPr>
      <w:r/>
      <w:r/>
    </w:p>
    <w:p>
      <w:pPr>
        <w:ind w:left="0" w:firstLine="422"/>
        <w:spacing w:line="360" w:lineRule="auto"/>
        <w:rPr>
          <w:rFonts w:ascii="宋体" w:hAnsi="宋体"/>
          <w:b/>
          <w:sz w:val="21"/>
        </w:rPr>
      </w:pPr>
      <w:r>
        <w:rPr>
          <w:rFonts w:hint="eastAsia" w:ascii="宋体" w:hAnsi="宋体"/>
          <w:b/>
          <w:sz w:val="21"/>
        </w:rPr>
        <w:t xml:space="preserve">（二）管理技术及综合方案：33分</w:t>
      </w:r>
      <w:r/>
    </w:p>
    <w:p>
      <w:pPr>
        <w:ind w:left="0" w:firstLine="420"/>
        <w:spacing w:line="360" w:lineRule="auto"/>
        <w:rPr>
          <w:rFonts w:ascii="宋体" w:hAnsi="宋体"/>
          <w:sz w:val="21"/>
        </w:rPr>
      </w:pPr>
      <w:r>
        <w:rPr>
          <w:rFonts w:hint="eastAsia" w:ascii="宋体" w:hAnsi="宋体"/>
          <w:sz w:val="21"/>
        </w:rPr>
        <w:t xml:space="preserve">1.针对苏州市智能制造融合发展中心（市人工智能+制造业创新应用中心）运营维护方案：12分</w:t>
      </w:r>
      <w:r/>
    </w:p>
    <w:p>
      <w:pPr>
        <w:ind w:left="0" w:firstLine="420"/>
        <w:spacing w:line="360" w:lineRule="auto"/>
        <w:rPr>
          <w:rFonts w:ascii="宋体" w:hAnsi="宋体"/>
          <w:sz w:val="21"/>
        </w:rPr>
      </w:pPr>
      <w:r>
        <w:rPr>
          <w:rFonts w:hint="eastAsia" w:ascii="宋体" w:hAnsi="宋体"/>
          <w:sz w:val="21"/>
        </w:rPr>
        <w:t xml:space="preserve">投标单位根据本项目特点，制定运营维护方案。</w:t>
      </w:r>
      <w:r/>
    </w:p>
    <w:p>
      <w:pPr>
        <w:ind w:left="0" w:firstLine="420"/>
        <w:spacing w:line="360" w:lineRule="auto"/>
        <w:rPr>
          <w:rFonts w:ascii="宋体" w:hAnsi="宋体"/>
          <w:sz w:val="21"/>
        </w:rPr>
      </w:pPr>
      <w:r>
        <w:rPr>
          <w:rFonts w:hint="eastAsia" w:ascii="宋体" w:hAnsi="宋体"/>
          <w:sz w:val="21"/>
        </w:rPr>
        <w:t xml:space="preserve">（1）展厅整体运营实施方案（包括但不限于组建运营团队、日常运营管理、展项内容策划和更新服务等）；</w:t>
      </w:r>
      <w:r/>
    </w:p>
    <w:p>
      <w:pPr>
        <w:ind w:left="0" w:firstLine="420"/>
        <w:spacing w:line="360" w:lineRule="auto"/>
        <w:rPr>
          <w:rFonts w:ascii="宋体" w:hAnsi="宋体"/>
          <w:sz w:val="21"/>
        </w:rPr>
      </w:pPr>
      <w:r>
        <w:rPr>
          <w:rFonts w:hint="eastAsia" w:ascii="宋体" w:hAnsi="宋体"/>
          <w:sz w:val="21"/>
        </w:rPr>
        <w:t xml:space="preserve">（2）展厅设备运维方案（包括但不限于展厅设备维护与保养、展厅整体设施的定期检测维护和应急检修、场馆内鼠标展线项目自动化设备服务等）；</w:t>
      </w:r>
      <w:r/>
    </w:p>
    <w:p>
      <w:pPr>
        <w:ind w:left="0" w:firstLine="420"/>
        <w:spacing w:line="360" w:lineRule="auto"/>
        <w:rPr>
          <w:rFonts w:ascii="宋体" w:hAnsi="宋体"/>
          <w:sz w:val="21"/>
        </w:rPr>
      </w:pPr>
      <w:r>
        <w:rPr>
          <w:rFonts w:hint="eastAsia" w:ascii="宋体" w:hAnsi="宋体"/>
          <w:sz w:val="21"/>
        </w:rPr>
        <w:t xml:space="preserve">（3）综合服务延伸方案（包括但不限于活动会务、新媒体、延伸服务等）；</w:t>
      </w:r>
      <w:r/>
    </w:p>
    <w:p>
      <w:pPr>
        <w:ind w:left="0" w:firstLine="420"/>
        <w:spacing w:line="360" w:lineRule="auto"/>
        <w:rPr>
          <w:rFonts w:ascii="宋体" w:hAnsi="宋体"/>
          <w:sz w:val="21"/>
        </w:rPr>
      </w:pPr>
      <w:r>
        <w:rPr>
          <w:rFonts w:hint="eastAsia" w:ascii="宋体" w:hAnsi="宋体"/>
          <w:sz w:val="21"/>
        </w:rPr>
        <w:t xml:space="preserve">（4）可定制化的讲解接待服务（包括但不限于可定制化的接待服务、展项内容策划更新服务等）。</w:t>
      </w:r>
      <w:r/>
    </w:p>
    <w:p>
      <w:pPr>
        <w:ind w:left="0" w:firstLine="420"/>
        <w:spacing w:line="360" w:lineRule="auto"/>
        <w:rPr>
          <w:rFonts w:ascii="宋体" w:hAnsi="宋体"/>
          <w:sz w:val="21"/>
        </w:rPr>
      </w:pPr>
      <w:r>
        <w:rPr>
          <w:rFonts w:hint="eastAsia" w:ascii="宋体" w:hAnsi="宋体"/>
          <w:sz w:val="21"/>
        </w:rPr>
        <w:t xml:space="preserve">上述每项应逐条叙述，方案内容完整，条理清晰，每项得</w:t>
      </w:r>
      <w:r>
        <w:rPr>
          <w:rFonts w:ascii="宋体" w:hAnsi="宋体"/>
          <w:sz w:val="21"/>
        </w:rPr>
        <w:t xml:space="preserve">3</w:t>
      </w:r>
      <w:r>
        <w:rPr>
          <w:rFonts w:hint="eastAsia" w:ascii="宋体" w:hAnsi="宋体"/>
          <w:sz w:val="21"/>
        </w:rPr>
        <w:t xml:space="preserve">分；内容有一定合理性、可行性的得1</w:t>
      </w:r>
      <w:r>
        <w:rPr>
          <w:rFonts w:ascii="宋体" w:hAnsi="宋体"/>
          <w:sz w:val="21"/>
        </w:rPr>
        <w:t xml:space="preserve">.5</w:t>
      </w:r>
      <w:r>
        <w:rPr>
          <w:rFonts w:hint="eastAsia" w:ascii="宋体" w:hAnsi="宋体"/>
          <w:sz w:val="21"/>
        </w:rPr>
        <w:t xml:space="preserve">分；每项叙述内容与需求偏差较大或未作完整叙述的，不得分；本项最高得</w:t>
      </w:r>
      <w:r>
        <w:rPr>
          <w:rFonts w:ascii="宋体" w:hAnsi="宋体"/>
          <w:sz w:val="21"/>
        </w:rPr>
        <w:t xml:space="preserve">12</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2.本项目服务内容要求，制定组织协调方案：6分</w:t>
      </w:r>
      <w:r/>
    </w:p>
    <w:p>
      <w:pPr>
        <w:ind w:left="0" w:firstLine="420"/>
        <w:spacing w:line="360" w:lineRule="auto"/>
        <w:rPr>
          <w:rFonts w:ascii="宋体" w:hAnsi="宋体"/>
          <w:sz w:val="21"/>
        </w:rPr>
      </w:pPr>
      <w:r>
        <w:rPr>
          <w:rFonts w:hint="eastAsia" w:ascii="宋体" w:hAnsi="宋体"/>
          <w:sz w:val="21"/>
        </w:rPr>
        <w:t xml:space="preserve">投标单位根据本项目特点，制定组织协调方案。</w:t>
      </w:r>
      <w:r/>
    </w:p>
    <w:p>
      <w:pPr>
        <w:ind w:left="0" w:firstLine="420"/>
        <w:spacing w:line="360" w:lineRule="auto"/>
        <w:rPr>
          <w:rFonts w:ascii="宋体" w:hAnsi="宋体"/>
          <w:sz w:val="21"/>
        </w:rPr>
      </w:pPr>
      <w:r>
        <w:rPr>
          <w:rFonts w:hint="eastAsia" w:ascii="宋体" w:hAnsi="宋体"/>
          <w:sz w:val="21"/>
        </w:rPr>
        <w:t xml:space="preserve">（1）项目运营部内部组织协调的方案；</w:t>
      </w:r>
      <w:r/>
    </w:p>
    <w:p>
      <w:pPr>
        <w:ind w:left="0" w:firstLine="420"/>
        <w:spacing w:line="360" w:lineRule="auto"/>
        <w:rPr>
          <w:rFonts w:ascii="宋体" w:hAnsi="宋体"/>
          <w:sz w:val="21"/>
        </w:rPr>
      </w:pPr>
      <w:r>
        <w:rPr>
          <w:rFonts w:hint="eastAsia" w:ascii="宋体" w:hAnsi="宋体"/>
          <w:sz w:val="21"/>
        </w:rPr>
        <w:t xml:space="preserve">（2）项目运营部对外组织协调的方案。</w:t>
      </w:r>
      <w:r/>
    </w:p>
    <w:p>
      <w:pPr>
        <w:ind w:left="0" w:firstLine="420"/>
        <w:spacing w:line="360" w:lineRule="auto"/>
        <w:rPr>
          <w:rFonts w:ascii="宋体" w:hAnsi="宋体"/>
          <w:sz w:val="21"/>
        </w:rPr>
      </w:pPr>
      <w:r>
        <w:rPr>
          <w:rFonts w:hint="eastAsia" w:ascii="宋体" w:hAnsi="宋体"/>
          <w:sz w:val="21"/>
        </w:rPr>
        <w:t xml:space="preserve">上述每项应逐条叙述，方案内容完整，条理清晰，每项得</w:t>
      </w:r>
      <w:r>
        <w:rPr>
          <w:rFonts w:ascii="宋体" w:hAnsi="宋体"/>
          <w:sz w:val="21"/>
        </w:rPr>
        <w:t xml:space="preserve">3</w:t>
      </w:r>
      <w:r>
        <w:rPr>
          <w:rFonts w:hint="eastAsia" w:ascii="宋体" w:hAnsi="宋体"/>
          <w:sz w:val="21"/>
        </w:rPr>
        <w:t xml:space="preserve">分；内容有一定合理性、可行性的得</w:t>
      </w:r>
      <w:r>
        <w:rPr>
          <w:rFonts w:ascii="宋体" w:hAnsi="宋体"/>
          <w:sz w:val="21"/>
        </w:rPr>
        <w:t xml:space="preserve">1.5</w:t>
      </w:r>
      <w:r>
        <w:rPr>
          <w:rFonts w:hint="eastAsia" w:ascii="宋体" w:hAnsi="宋体"/>
          <w:sz w:val="21"/>
        </w:rPr>
        <w:t xml:space="preserve">分；每项叙述内容与需求偏差较大或未作完整叙述的，不得分；本项最高得</w:t>
      </w:r>
      <w:r>
        <w:rPr>
          <w:rFonts w:ascii="宋体" w:hAnsi="宋体"/>
          <w:sz w:val="21"/>
        </w:rPr>
        <w:t xml:space="preserve">6</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3.重难点分析及应对方案：6分</w:t>
      </w:r>
      <w:r/>
    </w:p>
    <w:p>
      <w:pPr>
        <w:ind w:left="0" w:firstLine="420"/>
        <w:spacing w:line="360" w:lineRule="auto"/>
        <w:rPr>
          <w:rFonts w:ascii="宋体" w:hAnsi="宋体"/>
          <w:sz w:val="21"/>
        </w:rPr>
      </w:pPr>
      <w:r>
        <w:rPr>
          <w:rFonts w:hint="eastAsia" w:ascii="宋体" w:hAnsi="宋体"/>
          <w:sz w:val="21"/>
        </w:rPr>
        <w:t xml:space="preserve">投标单位根据本项目特点，制定重难点分析及应对方案。</w:t>
      </w:r>
      <w:r/>
    </w:p>
    <w:p>
      <w:pPr>
        <w:ind w:left="0" w:firstLine="420"/>
        <w:spacing w:line="360" w:lineRule="auto"/>
        <w:rPr>
          <w:rFonts w:ascii="宋体" w:hAnsi="宋体"/>
          <w:sz w:val="21"/>
        </w:rPr>
      </w:pPr>
      <w:r>
        <w:rPr>
          <w:rFonts w:hint="eastAsia" w:ascii="宋体" w:hAnsi="宋体"/>
          <w:sz w:val="21"/>
        </w:rPr>
        <w:t xml:space="preserve">（1）项目风险控制管理；</w:t>
      </w:r>
      <w:r/>
    </w:p>
    <w:p>
      <w:pPr>
        <w:ind w:left="0" w:firstLine="420"/>
        <w:spacing w:line="360" w:lineRule="auto"/>
        <w:rPr>
          <w:rFonts w:ascii="宋体" w:hAnsi="宋体"/>
          <w:sz w:val="21"/>
        </w:rPr>
      </w:pPr>
      <w:r>
        <w:rPr>
          <w:rFonts w:hint="eastAsia" w:ascii="宋体" w:hAnsi="宋体"/>
          <w:sz w:val="21"/>
        </w:rPr>
        <w:t xml:space="preserve">（2）项目质量保障措施。</w:t>
      </w:r>
      <w:r/>
    </w:p>
    <w:p>
      <w:pPr>
        <w:ind w:left="0" w:firstLine="420"/>
        <w:spacing w:line="360" w:lineRule="auto"/>
        <w:rPr>
          <w:rFonts w:ascii="宋体" w:hAnsi="宋体"/>
          <w:sz w:val="21"/>
        </w:rPr>
      </w:pPr>
      <w:r>
        <w:rPr>
          <w:rFonts w:hint="eastAsia" w:ascii="宋体" w:hAnsi="宋体"/>
          <w:sz w:val="21"/>
        </w:rPr>
        <w:t xml:space="preserve">上述每项应逐条叙述，方案内容完整，条理清晰，每项得</w:t>
      </w:r>
      <w:r>
        <w:rPr>
          <w:rFonts w:ascii="宋体" w:hAnsi="宋体"/>
          <w:sz w:val="21"/>
        </w:rPr>
        <w:t xml:space="preserve">3</w:t>
      </w:r>
      <w:r>
        <w:rPr>
          <w:rFonts w:hint="eastAsia" w:ascii="宋体" w:hAnsi="宋体"/>
          <w:sz w:val="21"/>
        </w:rPr>
        <w:t xml:space="preserve">分；内容有一定合理性、可行性的得</w:t>
      </w:r>
      <w:r>
        <w:rPr>
          <w:rFonts w:ascii="宋体" w:hAnsi="宋体"/>
          <w:sz w:val="21"/>
        </w:rPr>
        <w:t xml:space="preserve">1.5</w:t>
      </w:r>
      <w:r>
        <w:rPr>
          <w:rFonts w:hint="eastAsia" w:ascii="宋体" w:hAnsi="宋体"/>
          <w:sz w:val="21"/>
        </w:rPr>
        <w:t xml:space="preserve">分；每项叙述内容与需求偏差较大或未作完整叙述的，不得分；本项最高得</w:t>
      </w:r>
      <w:r>
        <w:rPr>
          <w:rFonts w:ascii="宋体" w:hAnsi="宋体"/>
          <w:sz w:val="21"/>
        </w:rPr>
        <w:t xml:space="preserve">6</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4.展厅接待讲解：9分</w:t>
      </w:r>
      <w:r/>
    </w:p>
    <w:p>
      <w:pPr>
        <w:ind w:left="0" w:firstLine="420"/>
        <w:spacing w:line="360" w:lineRule="auto"/>
        <w:rPr>
          <w:rFonts w:ascii="宋体" w:hAnsi="宋体"/>
          <w:sz w:val="21"/>
        </w:rPr>
      </w:pPr>
      <w:r>
        <w:rPr>
          <w:rFonts w:hint="eastAsia" w:ascii="宋体" w:hAnsi="宋体"/>
          <w:sz w:val="21"/>
        </w:rPr>
        <w:t xml:space="preserve">投标单位根据本项目特点，制定展厅接待讲解方案。</w:t>
      </w:r>
      <w:r/>
    </w:p>
    <w:p>
      <w:pPr>
        <w:ind w:left="0" w:firstLine="420"/>
        <w:spacing w:line="360" w:lineRule="auto"/>
        <w:rPr>
          <w:rFonts w:ascii="宋体" w:hAnsi="宋体"/>
          <w:sz w:val="21"/>
        </w:rPr>
      </w:pPr>
      <w:r>
        <w:rPr>
          <w:rFonts w:hint="eastAsia" w:ascii="宋体" w:hAnsi="宋体"/>
          <w:sz w:val="21"/>
        </w:rPr>
        <w:t xml:space="preserve">（1）展厅一层AI+制造业讲解稿；</w:t>
      </w:r>
      <w:r/>
    </w:p>
    <w:p>
      <w:pPr>
        <w:ind w:left="0" w:firstLine="420"/>
        <w:spacing w:line="360" w:lineRule="auto"/>
        <w:rPr>
          <w:rFonts w:ascii="宋体" w:hAnsi="宋体"/>
          <w:sz w:val="21"/>
        </w:rPr>
      </w:pPr>
      <w:r>
        <w:rPr>
          <w:rFonts w:hint="eastAsia" w:ascii="宋体" w:hAnsi="宋体"/>
          <w:sz w:val="21"/>
        </w:rPr>
        <w:t xml:space="preserve">（2）展厅二层苏州营商环境和企业服务讲解稿；</w:t>
      </w:r>
      <w:r/>
    </w:p>
    <w:p>
      <w:pPr>
        <w:ind w:left="0" w:firstLine="420"/>
        <w:spacing w:line="360" w:lineRule="auto"/>
        <w:rPr>
          <w:rFonts w:ascii="宋体" w:hAnsi="宋体"/>
          <w:sz w:val="21"/>
        </w:rPr>
      </w:pPr>
      <w:r>
        <w:rPr>
          <w:rFonts w:hint="eastAsia" w:ascii="宋体" w:hAnsi="宋体"/>
          <w:sz w:val="21"/>
        </w:rPr>
        <w:t xml:space="preserve">（3）特定访客个性化讲解稿。</w:t>
      </w:r>
      <w:r/>
    </w:p>
    <w:p>
      <w:pPr>
        <w:ind w:left="0" w:firstLine="420"/>
        <w:spacing w:line="360" w:lineRule="auto"/>
        <w:rPr>
          <w:rFonts w:ascii="宋体" w:hAnsi="宋体"/>
          <w:sz w:val="21"/>
        </w:rPr>
      </w:pPr>
      <w:r>
        <w:rPr>
          <w:rFonts w:hint="eastAsia" w:ascii="宋体" w:hAnsi="宋体"/>
          <w:sz w:val="21"/>
        </w:rPr>
        <w:t xml:space="preserve">上述每项应逐条叙述，方案内容完整，条理清晰，每项得</w:t>
      </w:r>
      <w:r>
        <w:rPr>
          <w:rFonts w:ascii="宋体" w:hAnsi="宋体"/>
          <w:sz w:val="21"/>
        </w:rPr>
        <w:t xml:space="preserve">3</w:t>
      </w:r>
      <w:r>
        <w:rPr>
          <w:rFonts w:hint="eastAsia" w:ascii="宋体" w:hAnsi="宋体"/>
          <w:sz w:val="21"/>
        </w:rPr>
        <w:t xml:space="preserve">分；内容有一定合理性、可行性的得</w:t>
      </w:r>
      <w:r>
        <w:rPr>
          <w:rFonts w:ascii="宋体" w:hAnsi="宋体"/>
          <w:sz w:val="21"/>
        </w:rPr>
        <w:t xml:space="preserve">1.5</w:t>
      </w:r>
      <w:r>
        <w:rPr>
          <w:rFonts w:hint="eastAsia" w:ascii="宋体" w:hAnsi="宋体"/>
          <w:sz w:val="21"/>
        </w:rPr>
        <w:t xml:space="preserve">分；每项叙述内容与需求偏差较大或未作完整叙述的，不得分；本项最高得9分。</w:t>
      </w:r>
      <w:r/>
    </w:p>
    <w:p>
      <w:pPr>
        <w:ind w:left="0" w:firstLine="422"/>
        <w:spacing w:line="360" w:lineRule="auto"/>
        <w:rPr>
          <w:rFonts w:ascii="宋体" w:hAnsi="宋体"/>
          <w:b/>
          <w:sz w:val="21"/>
        </w:rPr>
      </w:pPr>
      <w:r>
        <w:rPr>
          <w:rFonts w:hint="eastAsia" w:ascii="宋体" w:hAnsi="宋体"/>
          <w:b/>
          <w:sz w:val="21"/>
        </w:rPr>
        <w:t xml:space="preserve">（三）人员培训、服务质量控制及实施方案：2</w:t>
      </w:r>
      <w:r>
        <w:rPr>
          <w:rFonts w:ascii="宋体" w:hAnsi="宋体"/>
          <w:b/>
          <w:sz w:val="21"/>
        </w:rPr>
        <w:t xml:space="preserve">7</w:t>
      </w:r>
      <w:r>
        <w:rPr>
          <w:rFonts w:hint="eastAsia" w:ascii="宋体" w:hAnsi="宋体"/>
          <w:b/>
          <w:sz w:val="21"/>
        </w:rPr>
        <w:t xml:space="preserve">分</w:t>
      </w:r>
      <w:r/>
    </w:p>
    <w:p>
      <w:pPr>
        <w:ind w:left="0" w:firstLine="420"/>
        <w:spacing w:line="360" w:lineRule="auto"/>
        <w:rPr>
          <w:rFonts w:ascii="宋体" w:hAnsi="宋体"/>
          <w:sz w:val="21"/>
        </w:rPr>
      </w:pPr>
      <w:r>
        <w:rPr>
          <w:rFonts w:hint="eastAsia" w:ascii="宋体" w:hAnsi="宋体"/>
          <w:sz w:val="21"/>
        </w:rPr>
        <w:t xml:space="preserve">1.服务人员培训日常化措施、培训结合服务特点的针对性：9分</w:t>
      </w:r>
      <w:r/>
    </w:p>
    <w:p>
      <w:pPr>
        <w:ind w:left="0" w:firstLine="420"/>
        <w:spacing w:line="360" w:lineRule="auto"/>
        <w:rPr>
          <w:rFonts w:ascii="宋体" w:hAnsi="宋体"/>
          <w:sz w:val="21"/>
        </w:rPr>
      </w:pPr>
      <w:r>
        <w:rPr>
          <w:rFonts w:hint="eastAsia" w:ascii="宋体" w:hAnsi="宋体"/>
          <w:sz w:val="21"/>
        </w:rPr>
        <w:t xml:space="preserve">投标单位根据本项目特点，制定培训方案。</w:t>
      </w:r>
      <w:r/>
    </w:p>
    <w:p>
      <w:pPr>
        <w:ind w:left="0" w:firstLine="420"/>
        <w:spacing w:line="360" w:lineRule="auto"/>
        <w:rPr>
          <w:rFonts w:ascii="宋体" w:hAnsi="宋体"/>
          <w:sz w:val="21"/>
        </w:rPr>
      </w:pPr>
      <w:r>
        <w:rPr>
          <w:rFonts w:hint="eastAsia" w:ascii="宋体" w:hAnsi="宋体"/>
          <w:sz w:val="21"/>
        </w:rPr>
        <w:t xml:space="preserve">（1）讲解人员培训方案（包括但不限于培训目标、培训策略、培训流程、培训考核等）；</w:t>
      </w:r>
      <w:r/>
    </w:p>
    <w:p>
      <w:pPr>
        <w:ind w:left="0" w:firstLine="420"/>
        <w:spacing w:line="360" w:lineRule="auto"/>
        <w:rPr>
          <w:rFonts w:ascii="宋体" w:hAnsi="宋体"/>
          <w:sz w:val="21"/>
        </w:rPr>
      </w:pPr>
      <w:r>
        <w:rPr>
          <w:rFonts w:hint="eastAsia" w:ascii="宋体" w:hAnsi="宋体"/>
          <w:sz w:val="21"/>
        </w:rPr>
        <w:t xml:space="preserve">（2）设备维护人员培训方案（包括但不限于培训老师名单、师资介绍、培训老师管理等）；</w:t>
      </w:r>
      <w:r/>
    </w:p>
    <w:p>
      <w:pPr>
        <w:ind w:left="0" w:firstLine="420"/>
        <w:spacing w:line="360" w:lineRule="auto"/>
        <w:rPr>
          <w:rFonts w:ascii="宋体" w:hAnsi="宋体"/>
          <w:sz w:val="21"/>
        </w:rPr>
      </w:pPr>
      <w:r>
        <w:rPr>
          <w:rFonts w:hint="eastAsia" w:ascii="宋体" w:hAnsi="宋体"/>
          <w:sz w:val="21"/>
        </w:rPr>
        <w:t xml:space="preserve">（3）金牌讲解员评定方案（包括但不限于评定目的、评定依据、评定标准、评定办法等）。</w:t>
      </w:r>
      <w:r/>
    </w:p>
    <w:p>
      <w:pPr>
        <w:ind w:left="0" w:firstLine="420"/>
        <w:spacing w:line="360" w:lineRule="auto"/>
        <w:rPr>
          <w:rFonts w:ascii="宋体" w:hAnsi="宋体"/>
          <w:sz w:val="21"/>
        </w:rPr>
      </w:pPr>
      <w:r>
        <w:rPr>
          <w:rFonts w:hint="eastAsia" w:ascii="宋体" w:hAnsi="宋体"/>
          <w:sz w:val="21"/>
        </w:rPr>
        <w:t xml:space="preserve">上述每项应逐条叙述，方案内容完整，条理清晰，每项得</w:t>
      </w:r>
      <w:r>
        <w:rPr>
          <w:rFonts w:ascii="宋体" w:hAnsi="宋体"/>
          <w:sz w:val="21"/>
        </w:rPr>
        <w:t xml:space="preserve">3</w:t>
      </w:r>
      <w:r>
        <w:rPr>
          <w:rFonts w:hint="eastAsia" w:ascii="宋体" w:hAnsi="宋体"/>
          <w:sz w:val="21"/>
        </w:rPr>
        <w:t xml:space="preserve">分；内容有一定合理性、可行性的得</w:t>
      </w:r>
      <w:r>
        <w:rPr>
          <w:rFonts w:ascii="宋体" w:hAnsi="宋体"/>
          <w:sz w:val="21"/>
        </w:rPr>
        <w:t xml:space="preserve">1.5</w:t>
      </w:r>
      <w:r>
        <w:rPr>
          <w:rFonts w:hint="eastAsia" w:ascii="宋体" w:hAnsi="宋体"/>
          <w:sz w:val="21"/>
        </w:rPr>
        <w:t xml:space="preserve">分；每项叙述内容与需求偏差较大或未作完整叙述的，不得分；本项最高得</w:t>
      </w:r>
      <w:r>
        <w:rPr>
          <w:rFonts w:ascii="宋体" w:hAnsi="宋体"/>
          <w:sz w:val="21"/>
        </w:rPr>
        <w:t xml:space="preserve">9</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2.服务质量控制措施：6分</w:t>
      </w:r>
      <w:r/>
    </w:p>
    <w:p>
      <w:pPr>
        <w:ind w:left="0" w:firstLine="420"/>
        <w:spacing w:line="360" w:lineRule="auto"/>
        <w:rPr>
          <w:rFonts w:ascii="宋体" w:hAnsi="宋体"/>
          <w:sz w:val="21"/>
        </w:rPr>
      </w:pPr>
      <w:r>
        <w:rPr>
          <w:rFonts w:hint="eastAsia" w:ascii="宋体" w:hAnsi="宋体"/>
          <w:sz w:val="21"/>
        </w:rPr>
        <w:t xml:space="preserve">投标单位根据本项目特点，制定服务质量控制措施方案。</w:t>
      </w:r>
      <w:r/>
    </w:p>
    <w:p>
      <w:pPr>
        <w:ind w:left="0" w:firstLine="420"/>
        <w:spacing w:line="360" w:lineRule="auto"/>
        <w:rPr>
          <w:rFonts w:ascii="宋体" w:hAnsi="宋体"/>
          <w:sz w:val="21"/>
        </w:rPr>
      </w:pPr>
      <w:r>
        <w:rPr>
          <w:rFonts w:hint="eastAsia" w:ascii="宋体" w:hAnsi="宋体"/>
          <w:sz w:val="21"/>
        </w:rPr>
        <w:t xml:space="preserve">（1）服务体系、工作制度；</w:t>
      </w:r>
      <w:r/>
    </w:p>
    <w:p>
      <w:pPr>
        <w:ind w:left="0" w:firstLine="420"/>
        <w:spacing w:line="360" w:lineRule="auto"/>
        <w:rPr>
          <w:rFonts w:ascii="宋体" w:hAnsi="宋体"/>
          <w:sz w:val="21"/>
        </w:rPr>
      </w:pPr>
      <w:r>
        <w:rPr>
          <w:rFonts w:hint="eastAsia" w:ascii="宋体" w:hAnsi="宋体"/>
          <w:sz w:val="21"/>
        </w:rPr>
        <w:t xml:space="preserve">（2）考核机制、奖惩措施。</w:t>
      </w:r>
      <w:r/>
    </w:p>
    <w:p>
      <w:pPr>
        <w:ind w:left="0" w:firstLine="420"/>
        <w:spacing w:line="360" w:lineRule="auto"/>
        <w:rPr>
          <w:rFonts w:ascii="宋体" w:hAnsi="宋体"/>
          <w:sz w:val="21"/>
        </w:rPr>
      </w:pPr>
      <w:r>
        <w:rPr>
          <w:rFonts w:hint="eastAsia" w:ascii="宋体" w:hAnsi="宋体"/>
          <w:sz w:val="21"/>
        </w:rPr>
        <w:t xml:space="preserve">上述每项应逐条叙述，方案内容完整，条理清晰，每项得</w:t>
      </w:r>
      <w:r>
        <w:rPr>
          <w:rFonts w:ascii="宋体" w:hAnsi="宋体"/>
          <w:sz w:val="21"/>
        </w:rPr>
        <w:t xml:space="preserve">3</w:t>
      </w:r>
      <w:r>
        <w:rPr>
          <w:rFonts w:hint="eastAsia" w:ascii="宋体" w:hAnsi="宋体"/>
          <w:sz w:val="21"/>
        </w:rPr>
        <w:t xml:space="preserve">分；内容有一定合理性、可行性的得</w:t>
      </w:r>
      <w:r>
        <w:rPr>
          <w:rFonts w:ascii="宋体" w:hAnsi="宋体"/>
          <w:sz w:val="21"/>
        </w:rPr>
        <w:t xml:space="preserve">1.5</w:t>
      </w:r>
      <w:r>
        <w:rPr>
          <w:rFonts w:hint="eastAsia" w:ascii="宋体" w:hAnsi="宋体"/>
          <w:sz w:val="21"/>
        </w:rPr>
        <w:t xml:space="preserve">分；每项叙述内容与需求偏差较大或未作完整叙述的，不得分；本项最高得</w:t>
      </w:r>
      <w:r>
        <w:rPr>
          <w:rFonts w:ascii="宋体" w:hAnsi="宋体"/>
          <w:sz w:val="21"/>
        </w:rPr>
        <w:t xml:space="preserve">6</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3.特殊情况应对方案：9分</w:t>
      </w:r>
      <w:r/>
    </w:p>
    <w:p>
      <w:pPr>
        <w:ind w:left="0" w:firstLine="420"/>
        <w:spacing w:line="360" w:lineRule="auto"/>
        <w:rPr>
          <w:rFonts w:ascii="宋体" w:hAnsi="宋体"/>
          <w:sz w:val="21"/>
        </w:rPr>
      </w:pPr>
      <w:r>
        <w:rPr>
          <w:rFonts w:hint="eastAsia" w:ascii="宋体" w:hAnsi="宋体"/>
          <w:sz w:val="21"/>
        </w:rPr>
        <w:t xml:space="preserve">投标单位根据本项目特点，制定特殊情况应对方案。</w:t>
      </w:r>
      <w:r/>
    </w:p>
    <w:p>
      <w:pPr>
        <w:ind w:left="0" w:firstLine="420"/>
        <w:spacing w:line="360" w:lineRule="auto"/>
        <w:rPr>
          <w:rFonts w:ascii="宋体" w:hAnsi="宋体"/>
          <w:sz w:val="21"/>
        </w:rPr>
      </w:pPr>
      <w:r>
        <w:rPr>
          <w:rFonts w:hint="eastAsia" w:ascii="宋体" w:hAnsi="宋体"/>
          <w:sz w:val="21"/>
        </w:rPr>
        <w:t xml:space="preserve">（1）防止交叉感染措施；</w:t>
      </w:r>
      <w:r/>
    </w:p>
    <w:p>
      <w:pPr>
        <w:ind w:left="0" w:firstLine="420"/>
        <w:spacing w:line="360" w:lineRule="auto"/>
        <w:rPr>
          <w:rFonts w:ascii="宋体" w:hAnsi="宋体"/>
          <w:sz w:val="21"/>
        </w:rPr>
      </w:pPr>
      <w:r>
        <w:rPr>
          <w:rFonts w:hint="eastAsia" w:ascii="宋体" w:hAnsi="宋体"/>
          <w:sz w:val="21"/>
        </w:rPr>
        <w:t xml:space="preserve">（2）突发事件处理；</w:t>
      </w:r>
      <w:r/>
    </w:p>
    <w:p>
      <w:pPr>
        <w:ind w:left="0" w:firstLine="420"/>
        <w:spacing w:line="360" w:lineRule="auto"/>
        <w:rPr>
          <w:rFonts w:ascii="宋体" w:hAnsi="宋体"/>
          <w:sz w:val="21"/>
        </w:rPr>
      </w:pPr>
      <w:r>
        <w:rPr>
          <w:rFonts w:hint="eastAsia" w:ascii="宋体" w:hAnsi="宋体"/>
          <w:sz w:val="21"/>
        </w:rPr>
        <w:t xml:space="preserve">（3）进退场方案。</w:t>
      </w:r>
      <w:r/>
    </w:p>
    <w:p>
      <w:pPr>
        <w:ind w:left="0" w:firstLine="420"/>
        <w:spacing w:line="360" w:lineRule="auto"/>
        <w:rPr>
          <w:rFonts w:ascii="宋体" w:hAnsi="宋体"/>
          <w:sz w:val="21"/>
        </w:rPr>
      </w:pPr>
      <w:r>
        <w:rPr>
          <w:rFonts w:hint="eastAsia" w:ascii="宋体" w:hAnsi="宋体"/>
          <w:sz w:val="21"/>
        </w:rPr>
        <w:t xml:space="preserve">上述每项应逐条叙述，方案内容完整，条理清晰，每项得</w:t>
      </w:r>
      <w:r>
        <w:rPr>
          <w:rFonts w:ascii="宋体" w:hAnsi="宋体"/>
          <w:sz w:val="21"/>
        </w:rPr>
        <w:t xml:space="preserve">3</w:t>
      </w:r>
      <w:r>
        <w:rPr>
          <w:rFonts w:hint="eastAsia" w:ascii="宋体" w:hAnsi="宋体"/>
          <w:sz w:val="21"/>
        </w:rPr>
        <w:t xml:space="preserve">分；内容有一定合理性、可行性的得</w:t>
      </w:r>
      <w:r>
        <w:rPr>
          <w:rFonts w:ascii="宋体" w:hAnsi="宋体"/>
          <w:sz w:val="21"/>
        </w:rPr>
        <w:t xml:space="preserve">1.5</w:t>
      </w:r>
      <w:r>
        <w:rPr>
          <w:rFonts w:hint="eastAsia" w:ascii="宋体" w:hAnsi="宋体"/>
          <w:sz w:val="21"/>
        </w:rPr>
        <w:t xml:space="preserve">分；每项叙述内容与需求偏差较大或未作完整叙述的，不得分；本项最高得</w:t>
      </w:r>
      <w:r>
        <w:rPr>
          <w:rFonts w:ascii="宋体" w:hAnsi="宋体"/>
          <w:sz w:val="21"/>
        </w:rPr>
        <w:t xml:space="preserve">9</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4.实施团队配置方案：3分</w:t>
      </w:r>
      <w:r/>
    </w:p>
    <w:p>
      <w:pPr>
        <w:ind w:left="0" w:firstLine="420"/>
        <w:spacing w:line="360" w:lineRule="auto"/>
        <w:rPr>
          <w:rFonts w:ascii="宋体" w:hAnsi="宋体"/>
          <w:sz w:val="21"/>
        </w:rPr>
      </w:pPr>
      <w:r>
        <w:rPr>
          <w:rFonts w:hint="eastAsia" w:ascii="宋体" w:hAnsi="宋体"/>
          <w:sz w:val="21"/>
        </w:rPr>
        <w:t xml:space="preserve">投标单位根据本项目特点，制定实施团队配置方案，包括但不限于服务团队人员的配备、分工等内容。</w:t>
      </w:r>
      <w:r/>
    </w:p>
    <w:p>
      <w:pPr>
        <w:ind w:left="0" w:firstLine="420"/>
        <w:spacing w:line="360" w:lineRule="auto"/>
        <w:rPr>
          <w:rFonts w:ascii="宋体" w:hAnsi="宋体"/>
          <w:sz w:val="21"/>
        </w:rPr>
      </w:pPr>
      <w:r>
        <w:rPr>
          <w:rFonts w:hint="eastAsia" w:ascii="宋体" w:hAnsi="宋体"/>
          <w:sz w:val="21"/>
        </w:rPr>
        <w:t xml:space="preserve">方案内容完整，条理清晰，每项得</w:t>
      </w:r>
      <w:r>
        <w:rPr>
          <w:rFonts w:ascii="宋体" w:hAnsi="宋体"/>
          <w:sz w:val="21"/>
        </w:rPr>
        <w:t xml:space="preserve">3</w:t>
      </w:r>
      <w:r>
        <w:rPr>
          <w:rFonts w:hint="eastAsia" w:ascii="宋体" w:hAnsi="宋体"/>
          <w:sz w:val="21"/>
        </w:rPr>
        <w:t xml:space="preserve">分；内容有一定合理性、可行性的得</w:t>
      </w:r>
      <w:r>
        <w:rPr>
          <w:rFonts w:ascii="宋体" w:hAnsi="宋体"/>
          <w:sz w:val="21"/>
        </w:rPr>
        <w:t xml:space="preserve">1.5</w:t>
      </w:r>
      <w:r>
        <w:rPr>
          <w:rFonts w:hint="eastAsia" w:ascii="宋体" w:hAnsi="宋体"/>
          <w:sz w:val="21"/>
        </w:rPr>
        <w:t xml:space="preserve">分；每项叙述内容与需求偏差较大或未作完整叙述的，不得分；本项最高得</w:t>
      </w:r>
      <w:r>
        <w:rPr>
          <w:rFonts w:ascii="宋体" w:hAnsi="宋体"/>
          <w:sz w:val="21"/>
        </w:rPr>
        <w:t xml:space="preserve">3</w:t>
      </w:r>
      <w:r>
        <w:rPr>
          <w:rFonts w:hint="eastAsia" w:ascii="宋体" w:hAnsi="宋体"/>
          <w:sz w:val="21"/>
        </w:rPr>
        <w:t xml:space="preserve">分。</w:t>
      </w:r>
      <w:r/>
    </w:p>
    <w:p>
      <w:pPr>
        <w:ind w:left="0" w:firstLine="422"/>
        <w:spacing w:line="360" w:lineRule="auto"/>
        <w:rPr>
          <w:rFonts w:ascii="宋体" w:hAnsi="宋体"/>
          <w:b/>
          <w:sz w:val="21"/>
        </w:rPr>
      </w:pPr>
      <w:r>
        <w:rPr>
          <w:rFonts w:hint="eastAsia" w:ascii="宋体" w:hAnsi="宋体"/>
          <w:b/>
          <w:sz w:val="21"/>
        </w:rPr>
        <w:t xml:space="preserve">（四）人员配备：</w:t>
      </w:r>
      <w:r>
        <w:rPr>
          <w:rFonts w:ascii="宋体" w:hAnsi="宋体"/>
          <w:b/>
          <w:sz w:val="21"/>
        </w:rPr>
        <w:t xml:space="preserve">1</w:t>
      </w:r>
      <w:r>
        <w:rPr>
          <w:rFonts w:ascii="宋体" w:hAnsi="宋体"/>
          <w:b/>
          <w:sz w:val="21"/>
        </w:rPr>
        <w:t xml:space="preserve">0</w:t>
      </w:r>
      <w:r>
        <w:rPr>
          <w:rFonts w:hint="eastAsia" w:ascii="宋体" w:hAnsi="宋体"/>
          <w:b/>
          <w:sz w:val="21"/>
        </w:rPr>
        <w:t xml:space="preserve">分</w:t>
      </w:r>
      <w:r/>
    </w:p>
    <w:p>
      <w:pPr>
        <w:ind w:left="0" w:firstLine="420"/>
        <w:spacing w:line="360" w:lineRule="auto"/>
        <w:rPr>
          <w:rFonts w:ascii="宋体" w:hAnsi="宋体"/>
          <w:sz w:val="21"/>
        </w:rPr>
      </w:pPr>
      <w:r>
        <w:rPr>
          <w:rFonts w:hint="eastAsia" w:ascii="宋体" w:hAnsi="宋体"/>
          <w:sz w:val="21"/>
        </w:rPr>
        <w:t xml:space="preserve">1.项目经理：</w:t>
      </w:r>
      <w:r>
        <w:rPr>
          <w:rFonts w:ascii="宋体" w:hAnsi="宋体"/>
          <w:sz w:val="21"/>
        </w:rPr>
        <w:t xml:space="preserve">6</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具有电子信息工程专业的高级及以上职称证书、信息系统项目管理师证书、系统集成项目管理工程师证书的，每具备一个得2分，本项最高得6分。</w:t>
      </w:r>
      <w:r/>
    </w:p>
    <w:p>
      <w:pPr>
        <w:ind w:left="0" w:firstLine="422"/>
        <w:spacing w:line="360" w:lineRule="auto"/>
        <w:rPr>
          <w:rFonts w:ascii="宋体" w:hAnsi="宋体"/>
          <w:b/>
          <w:bCs/>
          <w:sz w:val="21"/>
        </w:rPr>
      </w:pPr>
      <w:r>
        <w:rPr>
          <w:rFonts w:hint="eastAsia" w:ascii="宋体" w:hAnsi="宋体"/>
          <w:b/>
          <w:bCs/>
          <w:sz w:val="21"/>
        </w:rPr>
        <w:t xml:space="preserve">（投标文件中须提供该人员证书扫描件、身份证复印件以及投标单位为其缴纳至少最近一期的社保证明扫描件并加盖投标单位公章，未提供不得分。）</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设备维保人员</w:t>
      </w:r>
      <w:r>
        <w:rPr>
          <w:rFonts w:hint="eastAsia" w:ascii="宋体" w:hAnsi="宋体"/>
          <w:sz w:val="21"/>
        </w:rPr>
        <w:t xml:space="preserve">：</w:t>
      </w:r>
      <w:r>
        <w:rPr>
          <w:rFonts w:ascii="宋体" w:hAnsi="宋体"/>
          <w:sz w:val="21"/>
        </w:rPr>
        <w:t xml:space="preserve">4</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具有电子信息工程专业的高级及以上职称证书、注册信息安全管理人员（CISO）证书的，每有一项得</w:t>
      </w:r>
      <w:r>
        <w:rPr>
          <w:rFonts w:ascii="宋体" w:hAnsi="宋体"/>
          <w:sz w:val="21"/>
        </w:rPr>
        <w:t xml:space="preserve">2</w:t>
      </w:r>
      <w:r>
        <w:rPr>
          <w:rFonts w:hint="eastAsia" w:ascii="宋体" w:hAnsi="宋体"/>
          <w:sz w:val="21"/>
        </w:rPr>
        <w:t xml:space="preserve">分,</w:t>
      </w:r>
      <w:r>
        <w:rPr>
          <w:rFonts w:hint="eastAsia" w:ascii="宋体" w:hAnsi="宋体"/>
          <w:sz w:val="21"/>
          <w:szCs w:val="21"/>
        </w:rPr>
        <w:t xml:space="preserve">同一证书不重复得分，</w:t>
      </w:r>
      <w:r>
        <w:rPr>
          <w:rFonts w:hint="eastAsia" w:ascii="宋体" w:hAnsi="宋体"/>
          <w:sz w:val="21"/>
        </w:rPr>
        <w:t xml:space="preserve">本项最高得</w:t>
      </w:r>
      <w:r>
        <w:rPr>
          <w:rFonts w:ascii="宋体" w:hAnsi="宋体"/>
          <w:sz w:val="21"/>
        </w:rPr>
        <w:t xml:space="preserve">4</w:t>
      </w:r>
      <w:r>
        <w:rPr>
          <w:rFonts w:hint="eastAsia" w:ascii="宋体" w:hAnsi="宋体"/>
          <w:sz w:val="21"/>
        </w:rPr>
        <w:t xml:space="preserve">分。</w:t>
      </w:r>
      <w:r/>
    </w:p>
    <w:p>
      <w:pPr>
        <w:ind w:left="0" w:firstLine="422"/>
        <w:spacing w:line="360" w:lineRule="auto"/>
        <w:rPr>
          <w:rFonts w:ascii="宋体" w:hAnsi="宋体"/>
          <w:b/>
          <w:bCs/>
          <w:sz w:val="21"/>
        </w:rPr>
      </w:pPr>
      <w:r>
        <w:rPr>
          <w:rFonts w:hint="eastAsia" w:ascii="宋体" w:hAnsi="宋体"/>
          <w:b/>
          <w:bCs/>
          <w:sz w:val="21"/>
        </w:rPr>
        <w:t xml:space="preserve">（注：投标文件中需提供以上人员证书扫描件、身份证复印件</w:t>
      </w:r>
      <w:r>
        <w:rPr>
          <w:rFonts w:hint="eastAsia" w:ascii="宋体" w:hAnsi="宋体"/>
          <w:b/>
          <w:bCs/>
          <w:sz w:val="21"/>
        </w:rPr>
        <w:t xml:space="preserve">及投标单位为其缴纳至少最近一期的社保证明扫描件并加盖投标单位公章，设备维保人员中“一人多证”仅得一次分，不提供相关证明不得分。）</w:t>
      </w:r>
      <w:r/>
    </w:p>
    <w:p>
      <w:pPr>
        <w:ind w:left="0" w:firstLine="422"/>
        <w:spacing w:line="360" w:lineRule="auto"/>
        <w:rPr>
          <w:rFonts w:ascii="宋体" w:hAnsi="宋体"/>
          <w:b/>
          <w:sz w:val="21"/>
        </w:rPr>
      </w:pPr>
      <w:r>
        <w:rPr>
          <w:rFonts w:hint="eastAsia" w:ascii="宋体" w:hAnsi="宋体"/>
          <w:b/>
          <w:sz w:val="21"/>
        </w:rPr>
        <w:t xml:space="preserve">（五）综合实力：</w:t>
      </w:r>
      <w:r>
        <w:rPr>
          <w:rFonts w:ascii="宋体" w:hAnsi="宋体"/>
          <w:b/>
          <w:sz w:val="21"/>
        </w:rPr>
        <w:t xml:space="preserve">4</w:t>
      </w:r>
      <w:r>
        <w:rPr>
          <w:rFonts w:hint="eastAsia" w:ascii="宋体" w:hAnsi="宋体"/>
          <w:b/>
          <w:sz w:val="21"/>
        </w:rPr>
        <w:t xml:space="preserve">分</w:t>
      </w:r>
      <w:r/>
    </w:p>
    <w:p>
      <w:pPr>
        <w:ind w:left="0" w:firstLine="420"/>
        <w:spacing w:line="360" w:lineRule="auto"/>
        <w:rPr>
          <w:rFonts w:ascii="宋体" w:hAnsi="宋体"/>
          <w:sz w:val="21"/>
        </w:rPr>
      </w:pPr>
      <w:r>
        <w:rPr>
          <w:rFonts w:hint="eastAsia" w:ascii="宋体" w:hAnsi="宋体"/>
          <w:sz w:val="21"/>
        </w:rPr>
        <w:t xml:space="preserve">1.体系认证：4分</w:t>
      </w:r>
      <w:r/>
    </w:p>
    <w:p>
      <w:pPr>
        <w:ind w:left="0" w:firstLine="420"/>
        <w:spacing w:line="360" w:lineRule="auto"/>
        <w:rPr>
          <w:rFonts w:ascii="宋体" w:hAnsi="宋体"/>
          <w:sz w:val="21"/>
        </w:rPr>
      </w:pPr>
      <w:r>
        <w:rPr>
          <w:rFonts w:hint="eastAsia" w:ascii="宋体" w:hAnsi="宋体"/>
          <w:sz w:val="21"/>
        </w:rPr>
        <w:t xml:space="preserve">投标单位具有有效的环境管理体系认证证书、职业健康</w:t>
      </w:r>
      <w:r>
        <w:rPr>
          <w:rFonts w:hint="eastAsia" w:ascii="宋体" w:hAnsi="宋体"/>
          <w:sz w:val="21"/>
        </w:rPr>
        <w:t xml:space="preserve">安全</w:t>
      </w:r>
      <w:r>
        <w:rPr>
          <w:rFonts w:hint="eastAsia" w:ascii="宋体" w:hAnsi="宋体"/>
          <w:sz w:val="21"/>
        </w:rPr>
        <w:t xml:space="preserve">管理体系认证证书、信息安全管理体系认证证书、信息技术服务管理体系认证证书的，每提供一项得1分，最高得</w:t>
      </w:r>
      <w:r>
        <w:rPr>
          <w:rFonts w:ascii="宋体" w:hAnsi="宋体"/>
          <w:sz w:val="21"/>
        </w:rPr>
        <w:t xml:space="preserve">4</w:t>
      </w:r>
      <w:r>
        <w:rPr>
          <w:rFonts w:hint="eastAsia" w:ascii="宋体" w:hAnsi="宋体"/>
          <w:sz w:val="21"/>
        </w:rPr>
        <w:t xml:space="preserve">分。</w:t>
      </w:r>
      <w:r/>
    </w:p>
    <w:p>
      <w:pPr>
        <w:ind w:left="0" w:firstLine="422"/>
        <w:spacing w:line="360" w:lineRule="auto"/>
        <w:rPr>
          <w:rFonts w:ascii="宋体" w:hAnsi="宋体"/>
          <w:b/>
          <w:sz w:val="21"/>
          <w:szCs w:val="21"/>
        </w:rPr>
      </w:pPr>
      <w:r>
        <w:rPr>
          <w:rFonts w:hint="eastAsia" w:ascii="宋体" w:hAnsi="宋体"/>
          <w:b/>
          <w:sz w:val="21"/>
          <w:szCs w:val="21"/>
        </w:rPr>
        <w:t xml:space="preserve">（注：投标文件中须提供相关证书复印件并加盖投标单位公章或网络查询截图并加盖投标单位公章，未提供不得分。）</w:t>
      </w:r>
      <w:r/>
    </w:p>
    <w:p>
      <w:pPr>
        <w:ind w:left="0" w:firstLine="422"/>
        <w:spacing w:line="360" w:lineRule="auto"/>
        <w:rPr>
          <w:rFonts w:ascii="宋体" w:hAnsi="宋体"/>
          <w:b/>
          <w:sz w:val="21"/>
        </w:rPr>
      </w:pPr>
      <w:r>
        <w:rPr>
          <w:rFonts w:hint="eastAsia" w:ascii="宋体" w:hAnsi="宋体"/>
          <w:b/>
          <w:sz w:val="21"/>
        </w:rPr>
        <w:t xml:space="preserve">（六）类似业绩：6分</w:t>
      </w:r>
      <w:r/>
    </w:p>
    <w:p>
      <w:pPr>
        <w:ind w:left="0" w:firstLine="420"/>
        <w:spacing w:line="360" w:lineRule="auto"/>
        <w:rPr>
          <w:rFonts w:ascii="宋体" w:hAnsi="宋体"/>
          <w:sz w:val="21"/>
        </w:rPr>
      </w:pPr>
      <w:r>
        <w:rPr>
          <w:rFonts w:hint="eastAsia" w:ascii="宋体" w:hAnsi="宋体"/>
          <w:sz w:val="21"/>
        </w:rPr>
        <w:t xml:space="preserve">投标人提供自2022年1月1日（以合同签订之日起为准）以来承担的类似项目业绩，每提供1个得2分，最高得6分。</w:t>
      </w:r>
      <w:r/>
    </w:p>
    <w:p>
      <w:pPr>
        <w:ind w:left="0" w:firstLine="422"/>
        <w:spacing w:line="360" w:lineRule="auto"/>
        <w:rPr>
          <w:rFonts w:ascii="宋体" w:hAnsi="宋体"/>
          <w:sz w:val="21"/>
        </w:rPr>
      </w:pPr>
      <w:r>
        <w:rPr>
          <w:rFonts w:hint="eastAsia" w:ascii="宋体" w:hAnsi="宋体"/>
          <w:b/>
          <w:sz w:val="21"/>
        </w:rPr>
        <w:t xml:space="preserve">（注：投标文件中需提供合同复印件并加盖投标单位公章，不提供不得分。类似业绩日期认定：以签订合同日期为准）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1"/>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1"/>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1"/>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91"/>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1"/>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1"/>
    <w:link w:val="842"/>
    <w:uiPriority w:val="9"/>
    <w:rPr>
      <w:rFonts w:ascii="Arial" w:hAnsi="Arial" w:eastAsia="Arial" w:cs="Arial"/>
      <w:sz w:val="40"/>
      <w:szCs w:val="40"/>
    </w:rPr>
  </w:style>
  <w:style w:type="character" w:styleId="15">
    <w:name w:val="Heading 2 Char"/>
    <w:basedOn w:val="851"/>
    <w:link w:val="843"/>
    <w:uiPriority w:val="9"/>
    <w:rPr>
      <w:rFonts w:ascii="Arial" w:hAnsi="Arial" w:eastAsia="Arial" w:cs="Arial"/>
      <w:sz w:val="34"/>
    </w:rPr>
  </w:style>
  <w:style w:type="character" w:styleId="17">
    <w:name w:val="Heading 3 Char"/>
    <w:basedOn w:val="851"/>
    <w:link w:val="844"/>
    <w:uiPriority w:val="9"/>
    <w:rPr>
      <w:rFonts w:ascii="Arial" w:hAnsi="Arial" w:eastAsia="Arial" w:cs="Arial"/>
      <w:sz w:val="30"/>
      <w:szCs w:val="30"/>
    </w:rPr>
  </w:style>
  <w:style w:type="character" w:styleId="19">
    <w:name w:val="Heading 4 Char"/>
    <w:basedOn w:val="851"/>
    <w:link w:val="845"/>
    <w:uiPriority w:val="9"/>
    <w:rPr>
      <w:rFonts w:ascii="Arial" w:hAnsi="Arial" w:eastAsia="Arial" w:cs="Arial"/>
      <w:b/>
      <w:bCs/>
      <w:sz w:val="26"/>
      <w:szCs w:val="26"/>
    </w:rPr>
  </w:style>
  <w:style w:type="character" w:styleId="21">
    <w:name w:val="Heading 5 Char"/>
    <w:basedOn w:val="851"/>
    <w:link w:val="846"/>
    <w:uiPriority w:val="9"/>
    <w:rPr>
      <w:rFonts w:ascii="Arial" w:hAnsi="Arial" w:eastAsia="Arial" w:cs="Arial"/>
      <w:b/>
      <w:bCs/>
      <w:sz w:val="24"/>
      <w:szCs w:val="24"/>
    </w:rPr>
  </w:style>
  <w:style w:type="character" w:styleId="23">
    <w:name w:val="Heading 6 Char"/>
    <w:basedOn w:val="851"/>
    <w:link w:val="847"/>
    <w:uiPriority w:val="9"/>
    <w:rPr>
      <w:rFonts w:ascii="Arial" w:hAnsi="Arial" w:eastAsia="Arial" w:cs="Arial"/>
      <w:b/>
      <w:bCs/>
      <w:sz w:val="22"/>
      <w:szCs w:val="22"/>
    </w:rPr>
  </w:style>
  <w:style w:type="character" w:styleId="25">
    <w:name w:val="Heading 7 Char"/>
    <w:basedOn w:val="851"/>
    <w:link w:val="848"/>
    <w:uiPriority w:val="9"/>
    <w:rPr>
      <w:rFonts w:ascii="Arial" w:hAnsi="Arial" w:eastAsia="Arial" w:cs="Arial"/>
      <w:b/>
      <w:bCs/>
      <w:i/>
      <w:iCs/>
      <w:sz w:val="22"/>
      <w:szCs w:val="22"/>
    </w:rPr>
  </w:style>
  <w:style w:type="character" w:styleId="27">
    <w:name w:val="Heading 8 Char"/>
    <w:basedOn w:val="851"/>
    <w:link w:val="849"/>
    <w:uiPriority w:val="9"/>
    <w:rPr>
      <w:rFonts w:ascii="Arial" w:hAnsi="Arial" w:eastAsia="Arial" w:cs="Arial"/>
      <w:i/>
      <w:iCs/>
      <w:sz w:val="22"/>
      <w:szCs w:val="22"/>
    </w:rPr>
  </w:style>
  <w:style w:type="character" w:styleId="29">
    <w:name w:val="Heading 9 Char"/>
    <w:basedOn w:val="851"/>
    <w:link w:val="850"/>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1"/>
    <w:next w:val="841"/>
    <w:link w:val="34"/>
    <w:uiPriority w:val="10"/>
    <w:qFormat/>
    <w:pPr>
      <w:contextualSpacing/>
      <w:spacing w:before="300" w:after="200"/>
    </w:pPr>
    <w:rPr>
      <w:sz w:val="48"/>
      <w:szCs w:val="48"/>
    </w:rPr>
  </w:style>
  <w:style w:type="character" w:styleId="34">
    <w:name w:val="Title Char"/>
    <w:basedOn w:val="851"/>
    <w:link w:val="33"/>
    <w:uiPriority w:val="10"/>
    <w:rPr>
      <w:sz w:val="48"/>
      <w:szCs w:val="48"/>
    </w:rPr>
  </w:style>
  <w:style w:type="character" w:styleId="36">
    <w:name w:val="Subtitle Char"/>
    <w:basedOn w:val="851"/>
    <w:link w:val="888"/>
    <w:uiPriority w:val="11"/>
    <w:rPr>
      <w:sz w:val="24"/>
      <w:szCs w:val="24"/>
    </w:rPr>
  </w:style>
  <w:style w:type="character" w:styleId="38">
    <w:name w:val="Quote Char"/>
    <w:link w:val="1093"/>
    <w:uiPriority w:val="29"/>
    <w:rPr>
      <w:i/>
    </w:rPr>
  </w:style>
  <w:style w:type="character" w:styleId="40">
    <w:name w:val="Intense Quote Char"/>
    <w:link w:val="1219"/>
    <w:uiPriority w:val="30"/>
    <w:rPr>
      <w:i/>
    </w:rPr>
  </w:style>
  <w:style w:type="character" w:styleId="42">
    <w:name w:val="Header Char"/>
    <w:basedOn w:val="851"/>
    <w:link w:val="886"/>
    <w:uiPriority w:val="99"/>
  </w:style>
  <w:style w:type="character" w:styleId="44">
    <w:name w:val="Footer Char"/>
    <w:basedOn w:val="851"/>
    <w:link w:val="884"/>
    <w:uiPriority w:val="99"/>
  </w:style>
  <w:style w:type="character" w:styleId="46">
    <w:name w:val="Caption Char"/>
    <w:basedOn w:val="861"/>
    <w:link w:val="884"/>
    <w:uiPriority w:val="99"/>
  </w:style>
  <w:style w:type="table" w:styleId="48">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1"/>
    <w:uiPriority w:val="99"/>
    <w:rPr>
      <w:sz w:val="18"/>
    </w:rPr>
  </w:style>
  <w:style w:type="character" w:styleId="178">
    <w:name w:val="Endnote Text Char"/>
    <w:link w:val="881"/>
    <w:uiPriority w:val="99"/>
    <w:rPr>
      <w:sz w:val="20"/>
    </w:rPr>
  </w:style>
  <w:style w:type="character" w:styleId="179">
    <w:name w:val="endnote reference"/>
    <w:basedOn w:val="851"/>
    <w:uiPriority w:val="99"/>
    <w:semiHidden/>
    <w:unhideWhenUsed/>
    <w:rPr>
      <w:vertAlign w:val="superscript"/>
    </w:rPr>
  </w:style>
  <w:style w:type="paragraph" w:styleId="189">
    <w:name w:val="TOC Heading"/>
    <w:uiPriority w:val="39"/>
    <w:unhideWhenUsed/>
  </w:style>
  <w:style w:type="paragraph" w:styleId="190">
    <w:name w:val="table of figures"/>
    <w:basedOn w:val="841"/>
    <w:next w:val="841"/>
    <w:uiPriority w:val="99"/>
    <w:unhideWhenUsed/>
    <w:pPr>
      <w:spacing w:after="0" w:afterAutospacing="0"/>
    </w:pPr>
  </w:style>
  <w:style w:type="paragraph" w:styleId="841" w:default="1">
    <w:name w:val="Normal"/>
    <w:next w:val="854"/>
    <w:qFormat/>
    <w:pPr>
      <w:ind w:left="1024"/>
      <w:jc w:val="both"/>
    </w:pPr>
    <w:rPr>
      <w:rFonts w:ascii="Calibri" w:hAnsi="Calibri"/>
    </w:rPr>
  </w:style>
  <w:style w:type="paragraph" w:styleId="842">
    <w:name w:val="Heading 1"/>
    <w:basedOn w:val="841"/>
    <w:next w:val="841"/>
    <w:qFormat/>
    <w:pPr>
      <w:ind w:left="432" w:firstLine="18"/>
      <w:spacing w:before="340" w:after="330" w:line="578" w:lineRule="auto"/>
      <w:outlineLvl w:val="0"/>
    </w:pPr>
  </w:style>
  <w:style w:type="paragraph" w:styleId="843">
    <w:name w:val="Heading 2"/>
    <w:basedOn w:val="841"/>
    <w:next w:val="841"/>
    <w:qFormat/>
    <w:pPr>
      <w:ind w:left="576" w:firstLine="24"/>
      <w:spacing w:before="260" w:after="260" w:line="416" w:lineRule="auto"/>
      <w:outlineLvl w:val="1"/>
    </w:pPr>
    <w:rPr>
      <w:rFonts w:ascii="Times New Roman" w:hAnsi="Times New Roman" w:cs="Times New Roman"/>
    </w:rPr>
  </w:style>
  <w:style w:type="paragraph" w:styleId="844">
    <w:name w:val="Heading 3"/>
    <w:basedOn w:val="841"/>
    <w:next w:val="855"/>
    <w:qFormat/>
    <w:pPr>
      <w:ind w:left="720"/>
      <w:spacing w:before="260" w:after="260" w:line="416" w:lineRule="auto"/>
      <w:outlineLvl w:val="2"/>
    </w:pPr>
    <w:rPr>
      <w:rFonts w:ascii="Times New Roman" w:hAnsi="Times New Roman" w:cs="Times New Roman"/>
    </w:rPr>
  </w:style>
  <w:style w:type="paragraph" w:styleId="845">
    <w:name w:val="Heading 4"/>
    <w:basedOn w:val="842"/>
    <w:next w:val="841"/>
    <w:qFormat/>
    <w:pPr>
      <w:ind w:left="864" w:firstLine="24"/>
      <w:spacing w:before="280" w:after="290" w:line="376" w:lineRule="auto"/>
      <w:outlineLvl w:val="3"/>
    </w:pPr>
    <w:rPr>
      <w:rFonts w:ascii="Times New Roman" w:hAnsi="Times New Roman" w:cs="Times New Roman"/>
    </w:rPr>
  </w:style>
  <w:style w:type="paragraph" w:styleId="846">
    <w:name w:val="Heading 5"/>
    <w:basedOn w:val="842"/>
    <w:next w:val="841"/>
    <w:qFormat/>
    <w:pPr>
      <w:ind w:left="1008"/>
      <w:spacing w:before="280" w:after="290" w:line="376" w:lineRule="auto"/>
      <w:outlineLvl w:val="4"/>
    </w:pPr>
    <w:rPr>
      <w:rFonts w:ascii="Times New Roman" w:hAnsi="Times New Roman" w:cs="Times New Roman"/>
    </w:rPr>
  </w:style>
  <w:style w:type="paragraph" w:styleId="847">
    <w:name w:val="Heading 6"/>
    <w:basedOn w:val="842"/>
    <w:next w:val="841"/>
    <w:qFormat/>
    <w:pPr>
      <w:ind w:left="1152" w:firstLine="20"/>
      <w:spacing w:before="240" w:after="64" w:line="320" w:lineRule="auto"/>
      <w:outlineLvl w:val="5"/>
    </w:pPr>
    <w:rPr>
      <w:rFonts w:ascii="Times New Roman" w:hAnsi="Times New Roman" w:cs="Times New Roman"/>
    </w:rPr>
  </w:style>
  <w:style w:type="paragraph" w:styleId="848">
    <w:name w:val="Heading 7"/>
    <w:basedOn w:val="842"/>
    <w:next w:val="841"/>
    <w:qFormat/>
    <w:pPr>
      <w:ind w:left="1296" w:firstLine="14"/>
      <w:spacing w:before="240" w:after="64" w:line="320" w:lineRule="auto"/>
      <w:outlineLvl w:val="6"/>
    </w:pPr>
    <w:rPr>
      <w:rFonts w:ascii="Times New Roman" w:hAnsi="Times New Roman" w:cs="Times New Roman"/>
    </w:rPr>
  </w:style>
  <w:style w:type="paragraph" w:styleId="849">
    <w:name w:val="Heading 8"/>
    <w:basedOn w:val="842"/>
    <w:next w:val="841"/>
    <w:qFormat/>
    <w:pPr>
      <w:ind w:left="1440"/>
      <w:spacing w:before="240" w:after="64" w:line="320" w:lineRule="auto"/>
      <w:outlineLvl w:val="7"/>
    </w:pPr>
    <w:rPr>
      <w:rFonts w:ascii="Times New Roman" w:hAnsi="Times New Roman" w:cs="Times New Roman"/>
    </w:rPr>
  </w:style>
  <w:style w:type="paragraph" w:styleId="850">
    <w:name w:val="Heading 9"/>
    <w:basedOn w:val="842"/>
    <w:next w:val="841"/>
    <w:qFormat/>
    <w:pPr>
      <w:ind w:left="1584" w:firstLine="22"/>
      <w:spacing w:before="240" w:after="64" w:line="320" w:lineRule="auto"/>
      <w:outlineLvl w:val="8"/>
    </w:pPr>
    <w:rPr>
      <w:rFonts w:ascii="Times New Roman" w:hAnsi="Times New Roman" w:cs="Times New Roman"/>
    </w:rPr>
  </w:style>
  <w:style w:type="character" w:styleId="851" w:default="1">
    <w:name w:val="Default Paragraph Font"/>
    <w:uiPriority w:val="1"/>
    <w:semiHidden/>
    <w:unhideWhenUsed/>
  </w:style>
  <w:style w:type="table" w:styleId="852" w:default="1">
    <w:name w:val="Normal Table"/>
    <w:uiPriority w:val="99"/>
    <w:semiHidden/>
    <w:unhideWhenUsed/>
    <w:tblPr>
      <w:tblInd w:w="0" w:type="dxa"/>
      <w:tblCellMar>
        <w:left w:w="108" w:type="dxa"/>
        <w:top w:w="0" w:type="dxa"/>
        <w:right w:w="108" w:type="dxa"/>
        <w:bottom w:w="0" w:type="dxa"/>
      </w:tblCellMar>
    </w:tblPr>
  </w:style>
  <w:style w:type="numbering" w:styleId="853" w:default="1">
    <w:name w:val="No List"/>
    <w:uiPriority w:val="99"/>
    <w:semiHidden/>
    <w:unhideWhenUsed/>
  </w:style>
  <w:style w:type="paragraph" w:styleId="854">
    <w:name w:val="Body Text Indent"/>
    <w:basedOn w:val="841"/>
    <w:next w:val="841"/>
    <w:qFormat/>
    <w:pPr>
      <w:ind w:left="420" w:firstLine="1188"/>
      <w:spacing w:line="360" w:lineRule="exact"/>
    </w:pPr>
    <w:rPr>
      <w:rFonts w:ascii="Times New Roman" w:hAnsi="Times New Roman" w:cs="Times New Roman"/>
    </w:rPr>
  </w:style>
  <w:style w:type="paragraph" w:styleId="855" w:customStyle="1">
    <w:name w:val="正文2"/>
    <w:basedOn w:val="841"/>
    <w:next w:val="841"/>
    <w:qFormat/>
    <w:pPr>
      <w:ind w:left="0" w:hanging="2155"/>
      <w:spacing w:line="360" w:lineRule="auto"/>
      <w:shd w:val="clear" w:color="auto" w:fill="ffffff"/>
    </w:pPr>
    <w:rPr>
      <w:rFonts w:ascii="宋体" w:hAnsi="宋体"/>
    </w:rPr>
  </w:style>
  <w:style w:type="paragraph" w:styleId="856">
    <w:name w:val="toc 7"/>
    <w:basedOn w:val="842"/>
    <w:next w:val="841"/>
    <w:qFormat/>
    <w:pPr>
      <w:ind w:left="1640" w:firstLine="3784"/>
      <w:spacing w:before="0" w:after="0" w:line="360" w:lineRule="auto"/>
    </w:pPr>
    <w:rPr>
      <w:rFonts w:ascii="Times New Roman" w:hAnsi="Times New Roman" w:cs="Times New Roman"/>
    </w:rPr>
  </w:style>
  <w:style w:type="paragraph" w:styleId="857">
    <w:name w:val="List Bullet 4"/>
    <w:basedOn w:val="842"/>
    <w:next w:val="858"/>
    <w:qFormat/>
    <w:pPr>
      <w:ind w:left="1620" w:firstLine="2652"/>
      <w:spacing w:before="0" w:after="0" w:line="360" w:lineRule="auto"/>
    </w:pPr>
    <w:rPr>
      <w:rFonts w:ascii="Times New Roman" w:hAnsi="Times New Roman" w:cs="Times New Roman"/>
    </w:rPr>
  </w:style>
  <w:style w:type="paragraph" w:styleId="858">
    <w:name w:val="List Bullet 2"/>
    <w:basedOn w:val="842"/>
    <w:next w:val="841"/>
    <w:qFormat/>
    <w:pPr>
      <w:ind w:left="900" w:firstLine="2652"/>
      <w:spacing w:before="0" w:after="0" w:line="360" w:lineRule="auto"/>
    </w:pPr>
    <w:rPr>
      <w:rFonts w:ascii="Times New Roman" w:hAnsi="Times New Roman" w:cs="Times New Roman"/>
    </w:rPr>
  </w:style>
  <w:style w:type="paragraph" w:styleId="859">
    <w:name w:val="List Number"/>
    <w:basedOn w:val="842"/>
    <w:next w:val="841"/>
    <w:qFormat/>
    <w:pPr>
      <w:ind w:left="454" w:firstLine="2788"/>
      <w:spacing w:before="0" w:after="0" w:line="240" w:lineRule="auto"/>
    </w:pPr>
    <w:rPr>
      <w:rFonts w:ascii="Times New Roman" w:hAnsi="Times New Roman" w:cs="Times New Roman"/>
    </w:rPr>
  </w:style>
  <w:style w:type="paragraph" w:styleId="860">
    <w:name w:val="Normal Indent"/>
    <w:basedOn w:val="841"/>
    <w:next w:val="841"/>
    <w:link w:val="910"/>
    <w:qFormat/>
    <w:pPr>
      <w:ind w:left="420" w:firstLine="4772"/>
    </w:pPr>
  </w:style>
  <w:style w:type="paragraph" w:styleId="861">
    <w:name w:val="Caption"/>
    <w:basedOn w:val="842"/>
    <w:next w:val="841"/>
    <w:qFormat/>
    <w:pPr>
      <w:ind w:left="200" w:firstLine="2248"/>
      <w:jc w:val="center"/>
      <w:spacing w:before="0" w:after="0" w:line="240" w:lineRule="auto"/>
    </w:pPr>
    <w:rPr>
      <w:rFonts w:ascii="Times New Roman" w:hAnsi="Times New Roman" w:cs="Times New Roman"/>
    </w:rPr>
  </w:style>
  <w:style w:type="paragraph" w:styleId="862">
    <w:name w:val="List Bullet"/>
    <w:basedOn w:val="842"/>
    <w:next w:val="841"/>
    <w:qFormat/>
    <w:pPr>
      <w:ind w:left="900" w:firstLine="2652"/>
      <w:spacing w:before="0" w:after="0" w:line="360" w:lineRule="auto"/>
    </w:pPr>
    <w:rPr>
      <w:rFonts w:ascii="Times New Roman" w:hAnsi="Times New Roman" w:cs="Times New Roman"/>
    </w:rPr>
  </w:style>
  <w:style w:type="paragraph" w:styleId="863">
    <w:name w:val="Document Map"/>
    <w:basedOn w:val="842"/>
    <w:next w:val="864"/>
    <w:qFormat/>
    <w:pPr>
      <w:ind w:left="0" w:firstLine="4"/>
      <w:spacing w:before="0" w:after="0" w:line="240" w:lineRule="auto"/>
      <w:shd w:val="clear" w:color="000000" w:fill="000080"/>
    </w:pPr>
    <w:rPr>
      <w:rFonts w:ascii="Times New Roman" w:hAnsi="Times New Roman" w:cs="Times New Roman"/>
    </w:rPr>
  </w:style>
  <w:style w:type="paragraph" w:styleId="864">
    <w:name w:val="annotation subject"/>
    <w:next w:val="841"/>
    <w:qFormat/>
    <w:pPr>
      <w:ind w:firstLine="4608"/>
      <w:spacing w:line="360" w:lineRule="auto"/>
    </w:pPr>
    <w:rPr>
      <w:rFonts w:ascii="Calibri" w:hAnsi="Calibri"/>
    </w:rPr>
  </w:style>
  <w:style w:type="paragraph" w:styleId="865">
    <w:name w:val="annotation text"/>
    <w:basedOn w:val="842"/>
    <w:next w:val="841"/>
    <w:qFormat/>
    <w:pPr>
      <w:ind w:left="0" w:firstLine="3584"/>
      <w:spacing w:before="0" w:after="0" w:line="360" w:lineRule="auto"/>
    </w:pPr>
    <w:rPr>
      <w:rFonts w:ascii="Times New Roman" w:hAnsi="Times New Roman" w:cs="Times New Roman"/>
    </w:rPr>
  </w:style>
  <w:style w:type="paragraph" w:styleId="866">
    <w:name w:val="Body Text 3"/>
    <w:basedOn w:val="842"/>
    <w:next w:val="841"/>
    <w:qFormat/>
    <w:pPr>
      <w:ind w:left="0" w:firstLine="2048"/>
      <w:spacing w:before="0" w:after="0" w:line="500" w:lineRule="exact"/>
    </w:pPr>
    <w:rPr>
      <w:rFonts w:ascii="Times New Roman" w:hAnsi="Times New Roman" w:cs="Times New Roman"/>
    </w:rPr>
  </w:style>
  <w:style w:type="paragraph" w:styleId="867">
    <w:name w:val="List Bullet 3"/>
    <w:basedOn w:val="842"/>
    <w:next w:val="841"/>
    <w:qFormat/>
    <w:pPr>
      <w:ind w:left="900" w:firstLine="2652"/>
      <w:spacing w:before="0" w:after="0" w:line="360" w:lineRule="auto"/>
    </w:pPr>
    <w:rPr>
      <w:rFonts w:ascii="Times New Roman" w:hAnsi="Times New Roman" w:cs="Times New Roman"/>
    </w:rPr>
  </w:style>
  <w:style w:type="paragraph" w:styleId="868">
    <w:name w:val="Body Text"/>
    <w:basedOn w:val="841"/>
    <w:next w:val="841"/>
    <w:qFormat/>
    <w:pPr>
      <w:ind w:left="0" w:firstLine="2560"/>
    </w:pPr>
    <w:rPr>
      <w:rFonts w:ascii="Times New Roman" w:hAnsi="Times New Roman" w:cs="Times New Roman"/>
    </w:rPr>
  </w:style>
  <w:style w:type="paragraph" w:styleId="869">
    <w:name w:val="List Number 3"/>
    <w:basedOn w:val="842"/>
    <w:next w:val="841"/>
    <w:qFormat/>
    <w:pPr>
      <w:ind w:left="420" w:firstLine="3584"/>
      <w:spacing w:before="0" w:after="0" w:line="240" w:lineRule="auto"/>
    </w:pPr>
    <w:rPr>
      <w:rFonts w:ascii="Times New Roman" w:hAnsi="Times New Roman" w:cs="Times New Roman"/>
    </w:rPr>
  </w:style>
  <w:style w:type="paragraph" w:styleId="870">
    <w:name w:val="List 2"/>
    <w:basedOn w:val="842"/>
    <w:next w:val="856"/>
    <w:qFormat/>
    <w:pPr>
      <w:ind w:left="100" w:firstLine="3640"/>
      <w:spacing w:before="0" w:after="0" w:line="240" w:lineRule="auto"/>
    </w:pPr>
    <w:rPr>
      <w:rFonts w:ascii="Times New Roman" w:hAnsi="Times New Roman" w:cs="Times New Roman"/>
    </w:rPr>
  </w:style>
  <w:style w:type="paragraph" w:styleId="871">
    <w:name w:val="Block Text"/>
    <w:basedOn w:val="842"/>
    <w:next w:val="841"/>
    <w:qFormat/>
    <w:pPr>
      <w:ind w:left="420" w:right="33" w:firstLine="2560"/>
      <w:spacing w:before="0" w:after="0" w:line="240" w:lineRule="auto"/>
    </w:pPr>
    <w:rPr>
      <w:rFonts w:ascii="Times New Roman" w:hAnsi="Times New Roman" w:cs="Times New Roman"/>
    </w:rPr>
  </w:style>
  <w:style w:type="paragraph" w:styleId="872">
    <w:name w:val="toc 5"/>
    <w:basedOn w:val="842"/>
    <w:next w:val="841"/>
    <w:qFormat/>
    <w:pPr>
      <w:ind w:left="1160" w:firstLine="3784"/>
      <w:spacing w:before="0" w:after="0" w:line="360" w:lineRule="auto"/>
    </w:pPr>
    <w:rPr>
      <w:rFonts w:ascii="Times New Roman" w:hAnsi="Times New Roman" w:cs="Times New Roman"/>
    </w:rPr>
  </w:style>
  <w:style w:type="paragraph" w:styleId="873">
    <w:name w:val="toc 3"/>
    <w:basedOn w:val="842"/>
    <w:next w:val="841"/>
    <w:qFormat/>
    <w:pPr>
      <w:ind w:left="0" w:firstLine="1024"/>
      <w:spacing w:before="0" w:after="0" w:line="360" w:lineRule="auto"/>
    </w:pPr>
    <w:rPr>
      <w:rFonts w:ascii="Times New Roman" w:hAnsi="Times New Roman" w:cs="Times New Roman"/>
    </w:rPr>
  </w:style>
  <w:style w:type="paragraph" w:styleId="874">
    <w:name w:val="Plain Text"/>
    <w:basedOn w:val="842"/>
    <w:next w:val="875"/>
    <w:qFormat/>
    <w:pPr>
      <w:ind w:left="0" w:firstLine="2048"/>
      <w:spacing w:before="0" w:after="0" w:line="240" w:lineRule="auto"/>
    </w:pPr>
    <w:rPr>
      <w:rFonts w:ascii="Times New Roman" w:hAnsi="Times New Roman" w:cs="Times New Roman"/>
    </w:rPr>
  </w:style>
  <w:style w:type="paragraph" w:styleId="875">
    <w:name w:val="toc 1"/>
    <w:basedOn w:val="842"/>
    <w:next w:val="841"/>
    <w:uiPriority w:val="39"/>
    <w:qFormat/>
    <w:pPr>
      <w:ind w:left="0" w:firstLine="4608"/>
      <w:spacing w:before="0" w:after="0" w:line="240" w:lineRule="auto"/>
    </w:pPr>
    <w:rPr>
      <w:rFonts w:ascii="Times New Roman" w:hAnsi="Times New Roman" w:cs="Times New Roman"/>
    </w:rPr>
  </w:style>
  <w:style w:type="paragraph" w:styleId="876">
    <w:name w:val="List Bullet 5"/>
    <w:basedOn w:val="842"/>
    <w:next w:val="877"/>
    <w:qFormat/>
    <w:pPr>
      <w:ind w:left="2040" w:firstLine="2560"/>
      <w:spacing w:before="0" w:after="0" w:line="360" w:lineRule="auto"/>
    </w:pPr>
    <w:rPr>
      <w:rFonts w:ascii="Times New Roman" w:hAnsi="Times New Roman" w:cs="Times New Roman"/>
    </w:rPr>
  </w:style>
  <w:style w:type="paragraph" w:styleId="877" w:customStyle="1">
    <w:name w:val="正文首行缩进1"/>
    <w:next w:val="869"/>
    <w:qFormat/>
    <w:pPr>
      <w:ind w:left="420" w:firstLine="2724"/>
      <w:spacing w:after="120" w:line="360" w:lineRule="auto"/>
    </w:pPr>
    <w:rPr>
      <w:rFonts w:ascii="Calibri" w:hAnsi="Calibri"/>
    </w:rPr>
  </w:style>
  <w:style w:type="paragraph" w:styleId="878">
    <w:name w:val="toc 8"/>
    <w:basedOn w:val="842"/>
    <w:next w:val="841"/>
    <w:qFormat/>
    <w:pPr>
      <w:ind w:left="1880" w:firstLine="3784"/>
      <w:spacing w:before="0" w:after="0" w:line="360" w:lineRule="auto"/>
    </w:pPr>
    <w:rPr>
      <w:rFonts w:ascii="Times New Roman" w:hAnsi="Times New Roman" w:cs="Times New Roman"/>
    </w:rPr>
  </w:style>
  <w:style w:type="paragraph" w:styleId="879">
    <w:name w:val="Date"/>
    <w:basedOn w:val="842"/>
    <w:next w:val="841"/>
    <w:qFormat/>
    <w:pPr>
      <w:ind w:left="0" w:firstLine="2560"/>
      <w:spacing w:before="0" w:after="0" w:line="240" w:lineRule="auto"/>
    </w:pPr>
    <w:rPr>
      <w:rFonts w:ascii="Times New Roman" w:hAnsi="Times New Roman" w:cs="Times New Roman"/>
    </w:rPr>
  </w:style>
  <w:style w:type="paragraph" w:styleId="880">
    <w:name w:val="Body Text Indent 2"/>
    <w:basedOn w:val="842"/>
    <w:next w:val="854"/>
    <w:qFormat/>
    <w:pPr>
      <w:ind w:left="481" w:firstLine="2784"/>
      <w:spacing w:before="0" w:after="0" w:line="400" w:lineRule="exact"/>
    </w:pPr>
    <w:rPr>
      <w:rFonts w:ascii="Times New Roman" w:hAnsi="Times New Roman" w:cs="Times New Roman"/>
    </w:rPr>
  </w:style>
  <w:style w:type="paragraph" w:styleId="881">
    <w:name w:val="endnote text"/>
    <w:basedOn w:val="842"/>
    <w:next w:val="882"/>
    <w:qFormat/>
    <w:pPr>
      <w:ind w:left="0" w:firstLine="2560"/>
      <w:spacing w:before="0" w:after="0" w:line="360" w:lineRule="auto"/>
    </w:pPr>
    <w:rPr>
      <w:rFonts w:ascii="Times New Roman" w:hAnsi="Times New Roman" w:cs="Times New Roman"/>
    </w:rPr>
  </w:style>
  <w:style w:type="paragraph" w:styleId="882" w:customStyle="1">
    <w:name w:val="Char11"/>
    <w:basedOn w:val="842"/>
    <w:next w:val="841"/>
    <w:qFormat/>
    <w:pPr>
      <w:ind w:left="0" w:firstLine="3584"/>
      <w:spacing w:before="0" w:after="0" w:line="240" w:lineRule="auto"/>
    </w:pPr>
    <w:rPr>
      <w:rFonts w:ascii="Times New Roman" w:hAnsi="Times New Roman" w:cs="Times New Roman"/>
    </w:rPr>
  </w:style>
  <w:style w:type="paragraph" w:styleId="883">
    <w:name w:val="Balloon Text"/>
    <w:basedOn w:val="842"/>
    <w:next w:val="859"/>
    <w:qFormat/>
    <w:pPr>
      <w:ind w:left="0" w:firstLine="2048"/>
      <w:spacing w:before="0" w:after="0" w:line="240" w:lineRule="auto"/>
    </w:pPr>
    <w:rPr>
      <w:rFonts w:ascii="Times New Roman" w:hAnsi="Times New Roman" w:cs="Times New Roman"/>
    </w:rPr>
  </w:style>
  <w:style w:type="paragraph" w:styleId="884">
    <w:name w:val="Footer"/>
    <w:basedOn w:val="841"/>
    <w:next w:val="885"/>
    <w:link w:val="911"/>
    <w:qFormat/>
    <w:pPr>
      <w:ind w:left="0" w:firstLine="3584"/>
    </w:pPr>
  </w:style>
  <w:style w:type="paragraph" w:styleId="885" w:customStyle="1">
    <w:name w:val="Char Char Char Char Char Char Char Char Char Char Char Char Char"/>
    <w:basedOn w:val="842"/>
    <w:next w:val="841"/>
    <w:qFormat/>
    <w:pPr>
      <w:ind w:left="0" w:firstLine="3584"/>
      <w:spacing w:before="0" w:after="160" w:line="240" w:lineRule="exact"/>
    </w:pPr>
    <w:rPr>
      <w:rFonts w:ascii="Times New Roman" w:hAnsi="Times New Roman" w:cs="Times New Roman"/>
    </w:rPr>
  </w:style>
  <w:style w:type="paragraph" w:styleId="886">
    <w:name w:val="Header"/>
    <w:basedOn w:val="842"/>
    <w:next w:val="879"/>
    <w:link w:val="912"/>
    <w:qFormat/>
    <w:pPr>
      <w:ind w:left="0" w:firstLine="3584"/>
      <w:jc w:val="center"/>
      <w:spacing w:before="0" w:after="0" w:line="240" w:lineRule="auto"/>
    </w:pPr>
  </w:style>
  <w:style w:type="paragraph" w:styleId="887">
    <w:name w:val="toc 4"/>
    <w:basedOn w:val="842"/>
    <w:next w:val="841"/>
    <w:qFormat/>
    <w:pPr>
      <w:ind w:left="1260" w:firstLine="1024"/>
      <w:spacing w:before="0" w:after="0" w:line="240" w:lineRule="auto"/>
    </w:pPr>
    <w:rPr>
      <w:rFonts w:ascii="Times New Roman" w:hAnsi="Times New Roman" w:cs="Times New Roman"/>
    </w:rPr>
  </w:style>
  <w:style w:type="paragraph" w:styleId="888">
    <w:name w:val="Subtitle"/>
    <w:next w:val="841"/>
    <w:qFormat/>
    <w:pPr>
      <w:ind w:left="1024"/>
      <w:jc w:val="center"/>
      <w:spacing w:after="60"/>
    </w:pPr>
    <w:rPr>
      <w:rFonts w:ascii="Calibri" w:hAnsi="Calibri"/>
    </w:rPr>
  </w:style>
  <w:style w:type="paragraph" w:styleId="889">
    <w:name w:val="List"/>
    <w:basedOn w:val="842"/>
    <w:next w:val="890"/>
    <w:qFormat/>
    <w:pPr>
      <w:ind w:left="200" w:firstLine="3640"/>
      <w:spacing w:before="0" w:after="0" w:line="240" w:lineRule="auto"/>
    </w:pPr>
    <w:rPr>
      <w:rFonts w:ascii="Times New Roman" w:hAnsi="Times New Roman" w:cs="Times New Roman"/>
    </w:rPr>
  </w:style>
  <w:style w:type="paragraph" w:styleId="890">
    <w:name w:val="Body Text First Indent"/>
    <w:next w:val="841"/>
    <w:qFormat/>
    <w:pPr>
      <w:ind w:left="420" w:firstLine="3748"/>
      <w:spacing w:after="120"/>
    </w:pPr>
    <w:rPr>
      <w:rFonts w:ascii="Calibri" w:hAnsi="Calibri"/>
    </w:rPr>
  </w:style>
  <w:style w:type="paragraph" w:styleId="891">
    <w:name w:val="footnote text"/>
    <w:basedOn w:val="842"/>
    <w:next w:val="871"/>
    <w:link w:val="1260"/>
    <w:qFormat/>
    <w:pPr>
      <w:ind w:left="0" w:firstLine="3584"/>
      <w:spacing w:before="0" w:after="0" w:line="360" w:lineRule="auto"/>
    </w:pPr>
    <w:rPr>
      <w:rFonts w:ascii="Times New Roman" w:hAnsi="Times New Roman" w:cs="Times New Roman"/>
    </w:rPr>
  </w:style>
  <w:style w:type="paragraph" w:styleId="892">
    <w:name w:val="toc 6"/>
    <w:basedOn w:val="842"/>
    <w:next w:val="841"/>
    <w:qFormat/>
    <w:pPr>
      <w:ind w:left="1400" w:firstLine="3784"/>
      <w:spacing w:before="0" w:after="0" w:line="360" w:lineRule="auto"/>
    </w:pPr>
    <w:rPr>
      <w:rFonts w:ascii="Times New Roman" w:hAnsi="Times New Roman" w:cs="Times New Roman"/>
    </w:rPr>
  </w:style>
  <w:style w:type="paragraph" w:styleId="893">
    <w:name w:val="List 5"/>
    <w:basedOn w:val="842"/>
    <w:next w:val="868"/>
    <w:qFormat/>
    <w:pPr>
      <w:ind w:left="2100" w:firstLine="3676"/>
      <w:spacing w:before="0" w:after="0" w:line="240" w:lineRule="auto"/>
    </w:pPr>
    <w:rPr>
      <w:rFonts w:ascii="Times New Roman" w:hAnsi="Times New Roman" w:cs="Times New Roman"/>
    </w:rPr>
  </w:style>
  <w:style w:type="paragraph" w:styleId="894">
    <w:name w:val="Body Text Indent 3"/>
    <w:basedOn w:val="842"/>
    <w:next w:val="892"/>
    <w:qFormat/>
    <w:pPr>
      <w:ind w:left="480" w:firstLine="2784"/>
      <w:spacing w:before="0" w:after="0" w:line="400" w:lineRule="exact"/>
    </w:pPr>
    <w:rPr>
      <w:rFonts w:ascii="Times New Roman" w:hAnsi="Times New Roman" w:cs="Times New Roman"/>
    </w:rPr>
  </w:style>
  <w:style w:type="paragraph" w:styleId="895">
    <w:name w:val="toc 2"/>
    <w:basedOn w:val="842"/>
    <w:next w:val="841"/>
    <w:qFormat/>
    <w:pPr>
      <w:ind w:left="0" w:firstLine="1024"/>
      <w:spacing w:before="0" w:after="0" w:line="360" w:lineRule="auto"/>
    </w:pPr>
    <w:rPr>
      <w:rFonts w:ascii="Times New Roman" w:hAnsi="Times New Roman" w:cs="Times New Roman"/>
    </w:rPr>
  </w:style>
  <w:style w:type="paragraph" w:styleId="896">
    <w:name w:val="toc 9"/>
    <w:basedOn w:val="842"/>
    <w:next w:val="841"/>
    <w:qFormat/>
    <w:pPr>
      <w:ind w:left="2120" w:firstLine="3784"/>
      <w:spacing w:before="0" w:after="0" w:line="360" w:lineRule="auto"/>
    </w:pPr>
    <w:rPr>
      <w:rFonts w:ascii="Times New Roman" w:hAnsi="Times New Roman" w:cs="Times New Roman"/>
    </w:rPr>
  </w:style>
  <w:style w:type="paragraph" w:styleId="897">
    <w:name w:val="Body Text 2"/>
    <w:basedOn w:val="842"/>
    <w:next w:val="862"/>
    <w:qFormat/>
    <w:pPr>
      <w:ind w:left="0" w:firstLine="1024"/>
      <w:spacing w:before="0" w:after="120" w:line="480" w:lineRule="auto"/>
    </w:pPr>
    <w:rPr>
      <w:rFonts w:ascii="Times New Roman" w:hAnsi="Times New Roman" w:cs="Times New Roman"/>
    </w:rPr>
  </w:style>
  <w:style w:type="paragraph" w:styleId="898">
    <w:name w:val="HTML Preformatted"/>
    <w:basedOn w:val="842"/>
    <w:next w:val="861"/>
    <w:qFormat/>
    <w:pPr>
      <w:ind w:left="0" w:firstLine="2048"/>
      <w:spacing w:before="0" w:after="0" w:line="253" w:lineRule="atLeast"/>
    </w:pPr>
    <w:rPr>
      <w:rFonts w:ascii="Times New Roman" w:hAnsi="Times New Roman" w:cs="Times New Roman"/>
    </w:rPr>
  </w:style>
  <w:style w:type="paragraph" w:styleId="899">
    <w:name w:val="Normal (Web)"/>
    <w:basedOn w:val="841"/>
    <w:next w:val="870"/>
    <w:qFormat/>
    <w:pPr>
      <w:ind w:left="15" w:right="15" w:firstLine="4608"/>
      <w:spacing w:before="60" w:after="60" w:line="312" w:lineRule="auto"/>
    </w:pPr>
    <w:rPr>
      <w:rFonts w:ascii="Times New Roman" w:hAnsi="Times New Roman" w:cs="Times New Roman"/>
    </w:rPr>
  </w:style>
  <w:style w:type="paragraph" w:styleId="900">
    <w:name w:val="index 1"/>
    <w:basedOn w:val="842"/>
    <w:next w:val="841"/>
    <w:qFormat/>
    <w:pPr>
      <w:ind w:left="0" w:firstLine="3584"/>
      <w:spacing w:before="0" w:after="0" w:line="240" w:lineRule="auto"/>
    </w:pPr>
    <w:rPr>
      <w:rFonts w:ascii="Times New Roman" w:hAnsi="Times New Roman" w:cs="Times New Roman"/>
    </w:rPr>
  </w:style>
  <w:style w:type="paragraph" w:styleId="901">
    <w:name w:val="Body Text First Indent 2"/>
    <w:basedOn w:val="854"/>
    <w:unhideWhenUsed/>
    <w:qFormat/>
    <w:pPr>
      <w:ind w:firstLine="420"/>
    </w:pPr>
  </w:style>
  <w:style w:type="table" w:styleId="902">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3">
    <w:name w:val="Strong"/>
    <w:qFormat/>
    <w:rPr>
      <w:rFonts w:ascii="Times New Roman" w:hAnsi="Times New Roman" w:eastAsia="宋体" w:cs="Times New Roman"/>
      <w:b/>
      <w:sz w:val="20"/>
    </w:rPr>
  </w:style>
  <w:style w:type="character" w:styleId="904">
    <w:name w:val="page number"/>
    <w:qFormat/>
    <w:rPr>
      <w:rFonts w:ascii="Times New Roman" w:hAnsi="Times New Roman" w:eastAsia="宋体" w:cs="Times New Roman"/>
      <w:sz w:val="20"/>
    </w:rPr>
  </w:style>
  <w:style w:type="character" w:styleId="905">
    <w:name w:val="FollowedHyperlink"/>
    <w:qFormat/>
    <w:rPr>
      <w:rFonts w:ascii="Times New Roman" w:hAnsi="Times New Roman" w:eastAsia="宋体" w:cs="Times New Roman"/>
      <w:color w:val="800080"/>
      <w:sz w:val="20"/>
      <w:u w:val="single"/>
    </w:rPr>
  </w:style>
  <w:style w:type="character" w:styleId="906">
    <w:name w:val="Emphasis"/>
    <w:qFormat/>
    <w:rPr>
      <w:rFonts w:ascii="Times New Roman" w:hAnsi="Times New Roman" w:eastAsia="宋体" w:cs="Times New Roman"/>
      <w:i/>
      <w:sz w:val="21"/>
    </w:rPr>
  </w:style>
  <w:style w:type="character" w:styleId="907">
    <w:name w:val="Hyperlink"/>
    <w:uiPriority w:val="99"/>
    <w:qFormat/>
    <w:rPr>
      <w:rFonts w:ascii="Times New Roman" w:hAnsi="Times New Roman" w:eastAsia="宋体" w:cs="Times New Roman"/>
      <w:color w:val="0000ff"/>
      <w:sz w:val="20"/>
      <w:u w:val="single"/>
    </w:rPr>
  </w:style>
  <w:style w:type="character" w:styleId="908">
    <w:name w:val="annotation reference"/>
    <w:qFormat/>
    <w:rPr>
      <w:rFonts w:ascii="Times New Roman" w:hAnsi="Times New Roman" w:eastAsia="宋体" w:cs="Times New Roman"/>
      <w:sz w:val="20"/>
    </w:rPr>
  </w:style>
  <w:style w:type="character" w:styleId="909">
    <w:name w:val="footnote reference"/>
    <w:qFormat/>
    <w:rPr>
      <w:rFonts w:ascii="Times New Roman" w:hAnsi="Times New Roman" w:eastAsia="宋体" w:cs="Times New Roman"/>
      <w:vertAlign w:val="superscript"/>
    </w:rPr>
  </w:style>
  <w:style w:type="character" w:styleId="910" w:customStyle="1">
    <w:name w:val="正文缩进 字符"/>
    <w:link w:val="860"/>
    <w:qFormat/>
    <w:rPr>
      <w:rFonts w:ascii="Calibri" w:hAnsi="Calibri" w:eastAsia="宋体" w:cs="Times New Roman"/>
    </w:rPr>
  </w:style>
  <w:style w:type="character" w:styleId="911" w:customStyle="1">
    <w:name w:val="页脚 字符"/>
    <w:link w:val="884"/>
    <w:qFormat/>
    <w:rPr>
      <w:rFonts w:ascii="Calibri" w:hAnsi="Calibri" w:eastAsia="宋体" w:cs="Times New Roman"/>
    </w:rPr>
  </w:style>
  <w:style w:type="character" w:styleId="912" w:customStyle="1">
    <w:name w:val="页眉 字符"/>
    <w:link w:val="886"/>
    <w:qFormat/>
    <w:rPr>
      <w:rFonts w:ascii="Calibri" w:hAnsi="Calibri" w:eastAsia="宋体" w:cs="Times New Roman"/>
    </w:rPr>
  </w:style>
  <w:style w:type="character" w:styleId="913" w:customStyle="1">
    <w:name w:val="日期 Char"/>
    <w:qFormat/>
    <w:rPr>
      <w:rFonts w:ascii="Times New Roman" w:hAnsi="Times New Roman" w:eastAsia="宋体" w:cs="Times New Roman"/>
      <w:sz w:val="20"/>
    </w:rPr>
  </w:style>
  <w:style w:type="character" w:styleId="914" w:customStyle="1">
    <w:name w:val="批注引用1"/>
    <w:qFormat/>
    <w:rPr>
      <w:rFonts w:ascii="Times New Roman" w:hAnsi="Times New Roman" w:eastAsia="宋体" w:cs="Times New Roman"/>
      <w:sz w:val="20"/>
    </w:rPr>
  </w:style>
  <w:style w:type="character" w:styleId="915" w:customStyle="1">
    <w:name w:val="应答文本 Char Char"/>
    <w:qFormat/>
    <w:rPr>
      <w:rFonts w:ascii="Times New Roman" w:hAnsi="Times New Roman" w:eastAsia="宋体" w:cs="Times New Roman"/>
      <w:sz w:val="20"/>
    </w:rPr>
  </w:style>
  <w:style w:type="character" w:styleId="916" w:customStyle="1">
    <w:name w:val="图片0 Char Char"/>
    <w:qFormat/>
    <w:rPr>
      <w:rFonts w:ascii="Times New Roman" w:hAnsi="Times New Roman" w:eastAsia="宋体" w:cs="Times New Roman"/>
      <w:sz w:val="20"/>
    </w:rPr>
  </w:style>
  <w:style w:type="character" w:styleId="917" w:customStyle="1">
    <w:name w:val="尾注文本 Char"/>
    <w:qFormat/>
    <w:rPr>
      <w:rFonts w:ascii="Times New Roman" w:hAnsi="Times New Roman" w:eastAsia="宋体" w:cs="Times New Roman"/>
      <w:sz w:val="20"/>
    </w:rPr>
  </w:style>
  <w:style w:type="character" w:styleId="918" w:customStyle="1">
    <w:name w:val="文档结构图 字符"/>
    <w:qFormat/>
    <w:rPr>
      <w:rFonts w:ascii="Microsoft YaHei UI" w:hAnsi="Times New Roman" w:eastAsia="Microsoft YaHei UI" w:cs="Times New Roman"/>
      <w:sz w:val="18"/>
      <w:szCs w:val="18"/>
    </w:rPr>
  </w:style>
  <w:style w:type="character" w:styleId="919" w:customStyle="1">
    <w:name w:val="_Style 337"/>
    <w:qFormat/>
    <w:rPr>
      <w:rFonts w:ascii="Times New Roman" w:hAnsi="Times New Roman" w:eastAsia="宋体" w:cs="Times New Roman"/>
      <w:color w:val="auto"/>
      <w:sz w:val="21"/>
    </w:rPr>
  </w:style>
  <w:style w:type="character" w:styleId="920" w:customStyle="1">
    <w:name w:val="正文文本 字符"/>
    <w:qFormat/>
    <w:rPr>
      <w:rFonts w:ascii="Times New Roman" w:hAnsi="Times New Roman" w:eastAsia="宋体" w:cs="Times New Roman"/>
      <w:sz w:val="21"/>
    </w:rPr>
  </w:style>
  <w:style w:type="character" w:styleId="921" w:customStyle="1">
    <w:name w:val="批注文字 字符"/>
    <w:qFormat/>
    <w:rPr>
      <w:rFonts w:ascii="Times New Roman" w:hAnsi="Times New Roman" w:eastAsia="宋体" w:cs="Times New Roman"/>
      <w:sz w:val="20"/>
    </w:rPr>
  </w:style>
  <w:style w:type="character" w:styleId="922" w:customStyle="1">
    <w:name w:val="批注文字 Char1"/>
    <w:qFormat/>
    <w:rPr>
      <w:rFonts w:ascii="Times New Roman" w:hAnsi="Times New Roman" w:eastAsia="宋体" w:cs="Times New Roman"/>
      <w:sz w:val="20"/>
    </w:rPr>
  </w:style>
  <w:style w:type="character" w:styleId="923" w:customStyle="1">
    <w:name w:val="txt"/>
    <w:qFormat/>
    <w:rPr>
      <w:rFonts w:ascii="Times New Roman" w:hAnsi="Times New Roman" w:eastAsia="宋体" w:cs="Times New Roman"/>
      <w:sz w:val="20"/>
    </w:rPr>
  </w:style>
  <w:style w:type="character" w:styleId="924" w:customStyle="1">
    <w:name w:val="标书正文 Char"/>
    <w:qFormat/>
    <w:rPr>
      <w:rFonts w:ascii="Times New Roman" w:hAnsi="Times New Roman" w:eastAsia="宋体" w:cs="Times New Roman"/>
      <w:sz w:val="20"/>
    </w:rPr>
  </w:style>
  <w:style w:type="character" w:styleId="925" w:customStyle="1">
    <w:name w:val="font21"/>
    <w:qFormat/>
    <w:rPr>
      <w:rFonts w:hint="eastAsia" w:ascii="宋体" w:hAnsi="宋体" w:eastAsia="宋体" w:cs="宋体"/>
      <w:color w:val="ff0000"/>
      <w:sz w:val="24"/>
      <w:szCs w:val="24"/>
      <w:u w:val="none"/>
    </w:rPr>
  </w:style>
  <w:style w:type="character" w:styleId="926" w:customStyle="1">
    <w:name w:val="apple-converted-space"/>
    <w:qFormat/>
    <w:rPr>
      <w:rFonts w:ascii="Times New Roman" w:hAnsi="Times New Roman" w:eastAsia="宋体" w:cs="Times New Roman"/>
      <w:sz w:val="20"/>
    </w:rPr>
  </w:style>
  <w:style w:type="character" w:styleId="927" w:customStyle="1">
    <w:name w:val="纯文本 Char1"/>
    <w:qFormat/>
    <w:rPr>
      <w:rFonts w:ascii="Times New Roman" w:hAnsi="Times New Roman" w:eastAsia="宋体" w:cs="Times New Roman"/>
      <w:sz w:val="20"/>
    </w:rPr>
  </w:style>
  <w:style w:type="character" w:styleId="928" w:customStyle="1">
    <w:name w:val="para1"/>
    <w:qFormat/>
    <w:rPr>
      <w:rFonts w:ascii="Times New Roman" w:hAnsi="Times New Roman" w:eastAsia="宋体" w:cs="Times New Roman"/>
      <w:sz w:val="20"/>
    </w:rPr>
  </w:style>
  <w:style w:type="character" w:styleId="929" w:customStyle="1">
    <w:name w:val="HTML 预设格式 Char1"/>
    <w:qFormat/>
    <w:rPr>
      <w:rFonts w:ascii="Times New Roman" w:hAnsi="Times New Roman" w:eastAsia="宋体" w:cs="Times New Roman"/>
      <w:sz w:val="20"/>
    </w:rPr>
  </w:style>
  <w:style w:type="character" w:styleId="930" w:customStyle="1">
    <w:name w:val="批注文字 Char"/>
    <w:qFormat/>
    <w:rPr>
      <w:rFonts w:ascii="Times New Roman" w:hAnsi="Times New Roman" w:eastAsia="宋体" w:cs="Times New Roman"/>
      <w:sz w:val="20"/>
    </w:rPr>
  </w:style>
  <w:style w:type="character" w:styleId="931" w:customStyle="1">
    <w:name w:val="文档结构图 Char"/>
    <w:qFormat/>
    <w:rPr>
      <w:rFonts w:ascii="Times New Roman" w:hAnsi="Times New Roman" w:eastAsia="宋体" w:cs="Times New Roman"/>
      <w:sz w:val="20"/>
    </w:rPr>
  </w:style>
  <w:style w:type="character" w:styleId="932" w:customStyle="1">
    <w:name w:val="超级链接"/>
    <w:qFormat/>
    <w:rPr>
      <w:rFonts w:ascii="Times New Roman" w:hAnsi="Times New Roman" w:eastAsia="宋体" w:cs="Times New Roman"/>
      <w:color w:val="0000ff"/>
      <w:sz w:val="20"/>
      <w:u w:val="single"/>
    </w:rPr>
  </w:style>
  <w:style w:type="character" w:styleId="933" w:customStyle="1">
    <w:name w:val="p141"/>
    <w:qFormat/>
    <w:rPr>
      <w:rFonts w:ascii="Times New Roman" w:hAnsi="Times New Roman" w:eastAsia="宋体" w:cs="Times New Roman"/>
      <w:color w:val="000000"/>
      <w:sz w:val="20"/>
      <w:u w:val="none"/>
    </w:rPr>
  </w:style>
  <w:style w:type="character" w:styleId="934" w:customStyle="1">
    <w:name w:val="宏文本 Char"/>
    <w:qFormat/>
    <w:rPr>
      <w:rFonts w:ascii="Times New Roman" w:hAnsi="Times New Roman" w:eastAsia="宋体" w:cs="Times New Roman"/>
      <w:sz w:val="20"/>
    </w:rPr>
  </w:style>
  <w:style w:type="character" w:styleId="935" w:customStyle="1">
    <w:name w:val="_Style 313"/>
    <w:qFormat/>
    <w:rPr>
      <w:rFonts w:ascii="Times New Roman" w:hAnsi="Times New Roman" w:eastAsia="宋体" w:cs="Times New Roman"/>
      <w:b/>
      <w:i/>
      <w:sz w:val="21"/>
    </w:rPr>
  </w:style>
  <w:style w:type="character" w:styleId="936" w:customStyle="1">
    <w:name w:val="页脚 Char1"/>
    <w:qFormat/>
    <w:rPr>
      <w:rFonts w:ascii="Times New Roman" w:hAnsi="Times New Roman" w:eastAsia="宋体" w:cs="Times New Roman"/>
      <w:sz w:val="20"/>
    </w:rPr>
  </w:style>
  <w:style w:type="character" w:styleId="937" w:customStyle="1">
    <w:name w:val="页眉 Char"/>
    <w:qFormat/>
    <w:rPr>
      <w:rFonts w:ascii="Times New Roman" w:hAnsi="Times New Roman" w:eastAsia="宋体" w:cs="Times New Roman"/>
      <w:sz w:val="20"/>
    </w:rPr>
  </w:style>
  <w:style w:type="character" w:styleId="938" w:customStyle="1">
    <w:name w:val="标题 7 Char"/>
    <w:qFormat/>
    <w:rPr>
      <w:rFonts w:ascii="Times New Roman" w:hAnsi="Times New Roman" w:eastAsia="宋体" w:cs="Times New Roman"/>
      <w:b/>
      <w:sz w:val="20"/>
    </w:rPr>
  </w:style>
  <w:style w:type="character" w:styleId="939" w:customStyle="1">
    <w:name w:val="Char Char12"/>
    <w:qFormat/>
    <w:rPr>
      <w:rFonts w:ascii="Times New Roman" w:hAnsi="Times New Roman" w:eastAsia="宋体" w:cs="Times New Roman"/>
      <w:sz w:val="20"/>
    </w:rPr>
  </w:style>
  <w:style w:type="character" w:styleId="940" w:customStyle="1">
    <w:name w:val="标题 3 Char"/>
    <w:qFormat/>
    <w:rPr>
      <w:rFonts w:ascii="Times New Roman" w:hAnsi="Times New Roman" w:eastAsia="宋体" w:cs="Times New Roman"/>
      <w:b/>
      <w:sz w:val="20"/>
    </w:rPr>
  </w:style>
  <w:style w:type="character" w:styleId="941" w:customStyle="1">
    <w:name w:val="正文（首行缩进 2 字符） Char Char"/>
    <w:qFormat/>
    <w:rPr>
      <w:rFonts w:ascii="Times New Roman" w:hAnsi="Times New Roman" w:eastAsia="宋体" w:cs="Times New Roman"/>
      <w:sz w:val="20"/>
    </w:rPr>
  </w:style>
  <w:style w:type="character" w:styleId="942" w:customStyle="1">
    <w:name w:val="表格用 Char Char"/>
    <w:qFormat/>
    <w:rPr>
      <w:rFonts w:ascii="Times New Roman" w:hAnsi="Times New Roman" w:eastAsia="宋体" w:cs="Times New Roman"/>
      <w:sz w:val="20"/>
    </w:rPr>
  </w:style>
  <w:style w:type="character" w:styleId="943" w:customStyle="1">
    <w:name w:val="正文文本缩进 3 Char1"/>
    <w:qFormat/>
    <w:rPr>
      <w:rFonts w:ascii="Times New Roman" w:hAnsi="Times New Roman" w:eastAsia="宋体" w:cs="Times New Roman"/>
      <w:sz w:val="20"/>
    </w:rPr>
  </w:style>
  <w:style w:type="character" w:styleId="944" w:customStyle="1">
    <w:name w:val="正文缩进 Char"/>
    <w:qFormat/>
    <w:rPr>
      <w:rFonts w:ascii="Times New Roman" w:hAnsi="Times New Roman" w:eastAsia="宋体" w:cs="Times New Roman"/>
      <w:sz w:val="20"/>
    </w:rPr>
  </w:style>
  <w:style w:type="character" w:styleId="945" w:customStyle="1">
    <w:name w:val="批注框文本 Char1"/>
    <w:qFormat/>
    <w:rPr>
      <w:rFonts w:ascii="Times New Roman" w:hAnsi="Times New Roman" w:eastAsia="宋体" w:cs="Times New Roman"/>
      <w:sz w:val="20"/>
    </w:rPr>
  </w:style>
  <w:style w:type="character" w:styleId="946" w:customStyle="1">
    <w:name w:val="Char Char13"/>
    <w:qFormat/>
    <w:rPr>
      <w:rFonts w:ascii="Times New Roman" w:hAnsi="Times New Roman" w:eastAsia="宋体" w:cs="Times New Roman"/>
      <w:sz w:val="20"/>
    </w:rPr>
  </w:style>
  <w:style w:type="character" w:styleId="947" w:customStyle="1">
    <w:name w:val="样式2 Char"/>
    <w:qFormat/>
    <w:rPr>
      <w:rFonts w:ascii="Times New Roman" w:hAnsi="Times New Roman" w:eastAsia="宋体" w:cs="Times New Roman"/>
      <w:b/>
      <w:sz w:val="20"/>
    </w:rPr>
  </w:style>
  <w:style w:type="character" w:styleId="948" w:customStyle="1">
    <w:name w:val="页脚 Char"/>
    <w:qFormat/>
    <w:rPr>
      <w:rFonts w:ascii="Times New Roman" w:hAnsi="Times New Roman" w:eastAsia="宋体" w:cs="Times New Roman"/>
      <w:sz w:val="20"/>
    </w:rPr>
  </w:style>
  <w:style w:type="character" w:styleId="949" w:customStyle="1">
    <w:name w:val="标准文本 Char"/>
    <w:qFormat/>
    <w:rPr>
      <w:rFonts w:ascii="Times New Roman" w:hAnsi="Times New Roman" w:eastAsia="宋体" w:cs="Times New Roman"/>
      <w:sz w:val="20"/>
    </w:rPr>
  </w:style>
  <w:style w:type="character" w:styleId="950" w:customStyle="1">
    <w:name w:val="font01"/>
    <w:qFormat/>
    <w:rPr>
      <w:rFonts w:hint="eastAsia" w:ascii="宋体" w:hAnsi="宋体" w:eastAsia="宋体" w:cs="宋体"/>
      <w:color w:val="000000"/>
      <w:sz w:val="24"/>
      <w:szCs w:val="24"/>
      <w:u w:val="none"/>
    </w:rPr>
  </w:style>
  <w:style w:type="character" w:styleId="951" w:customStyle="1">
    <w:name w:val="标题 3 Char1"/>
    <w:qFormat/>
    <w:rPr>
      <w:rFonts w:ascii="Times New Roman" w:hAnsi="Times New Roman" w:eastAsia="宋体" w:cs="Times New Roman"/>
      <w:b/>
      <w:sz w:val="20"/>
      <w:u w:val="single"/>
    </w:rPr>
  </w:style>
  <w:style w:type="character" w:styleId="952" w:customStyle="1">
    <w:name w:val="表格 Char Char"/>
    <w:qFormat/>
    <w:rPr>
      <w:rFonts w:ascii="Times New Roman" w:hAnsi="Times New Roman" w:eastAsia="宋体" w:cs="Times New Roman"/>
      <w:sz w:val="20"/>
    </w:rPr>
  </w:style>
  <w:style w:type="character" w:styleId="953" w:customStyle="1">
    <w:name w:val="正文首行缩进 Char"/>
    <w:qFormat/>
    <w:rPr>
      <w:rFonts w:ascii="Times New Roman" w:hAnsi="Times New Roman" w:eastAsia="宋体" w:cs="Times New Roman"/>
      <w:sz w:val="20"/>
    </w:rPr>
  </w:style>
  <w:style w:type="character" w:styleId="954" w:customStyle="1">
    <w:name w:val="标题 9 Char"/>
    <w:qFormat/>
    <w:rPr>
      <w:rFonts w:ascii="Times New Roman" w:hAnsi="Times New Roman" w:eastAsia="宋体" w:cs="Times New Roman"/>
      <w:sz w:val="20"/>
    </w:rPr>
  </w:style>
  <w:style w:type="character" w:styleId="955" w:customStyle="1">
    <w:name w:val="lh151"/>
    <w:qFormat/>
    <w:rPr>
      <w:rFonts w:ascii="Times New Roman" w:hAnsi="Times New Roman" w:eastAsia="宋体" w:cs="Times New Roman"/>
      <w:color w:val="666666"/>
      <w:sz w:val="20"/>
    </w:rPr>
  </w:style>
  <w:style w:type="character" w:styleId="956" w:customStyle="1">
    <w:name w:val="日期 Char1"/>
    <w:qFormat/>
    <w:rPr>
      <w:rFonts w:ascii="Times New Roman" w:hAnsi="Times New Roman" w:eastAsia="宋体" w:cs="Times New Roman"/>
      <w:sz w:val="20"/>
    </w:rPr>
  </w:style>
  <w:style w:type="character" w:styleId="957" w:customStyle="1">
    <w:name w:val="图片 Char Char"/>
    <w:qFormat/>
    <w:rPr>
      <w:rFonts w:ascii="Times New Roman" w:hAnsi="Times New Roman" w:eastAsia="宋体" w:cs="Times New Roman"/>
      <w:sz w:val="20"/>
    </w:rPr>
  </w:style>
  <w:style w:type="character" w:styleId="958" w:customStyle="1">
    <w:name w:val="批注框文本 字符"/>
    <w:qFormat/>
    <w:rPr>
      <w:rFonts w:ascii="Times New Roman" w:hAnsi="Times New Roman" w:eastAsia="宋体" w:cs="Times New Roman"/>
      <w:sz w:val="20"/>
    </w:rPr>
  </w:style>
  <w:style w:type="character" w:styleId="959" w:customStyle="1">
    <w:name w:val="HTML 预设格式 Char"/>
    <w:qFormat/>
    <w:rPr>
      <w:rFonts w:ascii="Times New Roman" w:hAnsi="Times New Roman" w:eastAsia="宋体" w:cs="Times New Roman"/>
      <w:sz w:val="20"/>
    </w:rPr>
  </w:style>
  <w:style w:type="character" w:styleId="960" w:customStyle="1">
    <w:name w:val="列出段落 Char"/>
    <w:qFormat/>
    <w:rPr>
      <w:rFonts w:ascii="Times New Roman" w:hAnsi="Times New Roman" w:eastAsia="宋体" w:cs="Times New Roman"/>
      <w:sz w:val="20"/>
    </w:rPr>
  </w:style>
  <w:style w:type="character" w:styleId="961" w:customStyle="1">
    <w:name w:val="标题 5 Char"/>
    <w:qFormat/>
    <w:rPr>
      <w:rFonts w:ascii="Times New Roman" w:hAnsi="Times New Roman" w:eastAsia="宋体" w:cs="Times New Roman"/>
      <w:b/>
      <w:sz w:val="20"/>
    </w:rPr>
  </w:style>
  <w:style w:type="character" w:styleId="962" w:customStyle="1">
    <w:name w:val="链接"/>
    <w:qFormat/>
    <w:rPr>
      <w:rFonts w:ascii="Times New Roman" w:hAnsi="Times New Roman" w:eastAsia="宋体" w:cs="Times New Roman"/>
      <w:color w:val="0000ff"/>
      <w:sz w:val="20"/>
      <w:u w:val="single"/>
    </w:rPr>
  </w:style>
  <w:style w:type="character" w:styleId="963" w:customStyle="1">
    <w:name w:val="18h1"/>
    <w:qFormat/>
    <w:rPr>
      <w:rFonts w:ascii="Times New Roman" w:hAnsi="Times New Roman" w:eastAsia="宋体" w:cs="Times New Roman"/>
      <w:color w:val="3b3b3b"/>
      <w:sz w:val="20"/>
    </w:rPr>
  </w:style>
  <w:style w:type="character" w:styleId="964" w:customStyle="1">
    <w:name w:val="表格文字（两侧对齐） Char Char"/>
    <w:qFormat/>
    <w:rPr>
      <w:rFonts w:ascii="Times New Roman" w:hAnsi="Times New Roman" w:eastAsia="宋体" w:cs="Times New Roman"/>
      <w:sz w:val="20"/>
    </w:rPr>
  </w:style>
  <w:style w:type="character" w:styleId="965" w:customStyle="1">
    <w:name w:val="正文文本缩进 2 Char"/>
    <w:qFormat/>
    <w:rPr>
      <w:rFonts w:ascii="Times New Roman" w:hAnsi="Times New Roman" w:eastAsia="宋体" w:cs="Times New Roman"/>
      <w:sz w:val="20"/>
    </w:rPr>
  </w:style>
  <w:style w:type="character" w:styleId="966" w:customStyle="1">
    <w:name w:val="Char Char14"/>
    <w:qFormat/>
    <w:rPr>
      <w:rFonts w:ascii="Times New Roman" w:hAnsi="Times New Roman" w:eastAsia="宋体" w:cs="Times New Roman"/>
      <w:sz w:val="20"/>
    </w:rPr>
  </w:style>
  <w:style w:type="character" w:styleId="967" w:customStyle="1">
    <w:name w:val="标题 1 Char1"/>
    <w:qFormat/>
    <w:rPr>
      <w:rFonts w:ascii="Times New Roman" w:hAnsi="Times New Roman" w:eastAsia="宋体" w:cs="Times New Roman"/>
      <w:b/>
      <w:sz w:val="20"/>
    </w:rPr>
  </w:style>
  <w:style w:type="character" w:styleId="968" w:customStyle="1">
    <w:name w:val="批注框文本 Char"/>
    <w:qFormat/>
    <w:rPr>
      <w:rFonts w:ascii="Times New Roman" w:hAnsi="Times New Roman" w:eastAsia="宋体" w:cs="Times New Roman"/>
      <w:sz w:val="20"/>
    </w:rPr>
  </w:style>
  <w:style w:type="character" w:styleId="969" w:customStyle="1">
    <w:name w:val="apple-style-span"/>
    <w:qFormat/>
    <w:rPr>
      <w:rFonts w:ascii="Times New Roman" w:hAnsi="Times New Roman" w:eastAsia="宋体" w:cs="Times New Roman"/>
      <w:sz w:val="20"/>
    </w:rPr>
  </w:style>
  <w:style w:type="character" w:styleId="970" w:customStyle="1">
    <w:name w:val="插图 Char Char"/>
    <w:qFormat/>
    <w:rPr>
      <w:rFonts w:ascii="Times New Roman" w:hAnsi="Times New Roman" w:eastAsia="宋体" w:cs="Times New Roman"/>
      <w:sz w:val="20"/>
    </w:rPr>
  </w:style>
  <w:style w:type="character" w:styleId="971" w:customStyle="1">
    <w:name w:val="标题 2 Char1"/>
    <w:qFormat/>
    <w:rPr>
      <w:rFonts w:ascii="Times New Roman" w:hAnsi="Times New Roman" w:eastAsia="宋体" w:cs="Times New Roman"/>
      <w:b/>
      <w:sz w:val="20"/>
    </w:rPr>
  </w:style>
  <w:style w:type="character" w:styleId="972" w:customStyle="1">
    <w:name w:val="_Style 332"/>
    <w:qFormat/>
    <w:rPr>
      <w:rFonts w:ascii="Times New Roman" w:hAnsi="Times New Roman" w:eastAsia="宋体" w:cs="Times New Roman"/>
      <w:i/>
      <w:color w:val="auto"/>
      <w:sz w:val="21"/>
    </w:rPr>
  </w:style>
  <w:style w:type="character" w:styleId="973" w:customStyle="1">
    <w:name w:val="正文文本 3 Char1"/>
    <w:qFormat/>
    <w:rPr>
      <w:rFonts w:ascii="Times New Roman" w:hAnsi="Times New Roman" w:eastAsia="宋体" w:cs="Times New Roman"/>
      <w:sz w:val="20"/>
    </w:rPr>
  </w:style>
  <w:style w:type="character" w:styleId="974" w:customStyle="1">
    <w:name w:val="标题 5 Char1"/>
    <w:qFormat/>
    <w:rPr>
      <w:rFonts w:ascii="Times New Roman" w:hAnsi="Times New Roman" w:eastAsia="宋体" w:cs="Times New Roman"/>
      <w:b/>
      <w:sz w:val="20"/>
    </w:rPr>
  </w:style>
  <w:style w:type="character" w:styleId="975" w:customStyle="1">
    <w:name w:val="批注主题 Char"/>
    <w:qFormat/>
    <w:rPr>
      <w:rFonts w:ascii="Times New Roman" w:hAnsi="Times New Roman" w:eastAsia="宋体" w:cs="Times New Roman"/>
      <w:b/>
      <w:sz w:val="20"/>
    </w:rPr>
  </w:style>
  <w:style w:type="character" w:styleId="976" w:customStyle="1">
    <w:name w:val="标题 1 Char"/>
    <w:qFormat/>
    <w:rPr>
      <w:rFonts w:ascii="Times New Roman" w:hAnsi="Times New Roman" w:eastAsia="宋体" w:cs="Times New Roman"/>
      <w:b/>
      <w:sz w:val="20"/>
    </w:rPr>
  </w:style>
  <w:style w:type="character" w:styleId="977" w:customStyle="1">
    <w:name w:val="正文文本 2 Char1"/>
    <w:qFormat/>
    <w:rPr>
      <w:rFonts w:ascii="Times New Roman" w:hAnsi="Times New Roman" w:eastAsia="宋体" w:cs="Times New Roman"/>
      <w:sz w:val="20"/>
    </w:rPr>
  </w:style>
  <w:style w:type="character" w:styleId="978" w:customStyle="1">
    <w:name w:val="标题 4 Char1"/>
    <w:qFormat/>
    <w:rPr>
      <w:rFonts w:ascii="Times New Roman" w:hAnsi="Times New Roman" w:eastAsia="宋体" w:cs="Times New Roman"/>
      <w:b/>
      <w:sz w:val="20"/>
    </w:rPr>
  </w:style>
  <w:style w:type="character" w:styleId="979" w:customStyle="1">
    <w:name w:val="正文文本 2 Char"/>
    <w:qFormat/>
    <w:rPr>
      <w:rFonts w:ascii="Times New Roman" w:hAnsi="Times New Roman" w:eastAsia="宋体" w:cs="Times New Roman"/>
      <w:sz w:val="20"/>
    </w:rPr>
  </w:style>
  <w:style w:type="character" w:styleId="980" w:customStyle="1">
    <w:name w:val="_Style 376"/>
    <w:qFormat/>
    <w:rPr>
      <w:rFonts w:ascii="Times New Roman" w:hAnsi="Times New Roman" w:eastAsia="宋体" w:cs="Times New Roman"/>
      <w:b/>
      <w:color w:val="auto"/>
      <w:sz w:val="21"/>
    </w:rPr>
  </w:style>
  <w:style w:type="character" w:styleId="981" w:customStyle="1">
    <w:name w:val="062"/>
    <w:qFormat/>
    <w:rPr>
      <w:rFonts w:ascii="Times New Roman" w:hAnsi="Times New Roman" w:eastAsia="宋体" w:cs="Times New Roman"/>
      <w:b/>
      <w:sz w:val="20"/>
    </w:rPr>
  </w:style>
  <w:style w:type="character" w:styleId="982" w:customStyle="1">
    <w:name w:val="正文文本 Char1"/>
    <w:qFormat/>
    <w:rPr>
      <w:rFonts w:ascii="Times New Roman" w:hAnsi="Times New Roman" w:eastAsia="宋体" w:cs="Times New Roman"/>
      <w:sz w:val="20"/>
    </w:rPr>
  </w:style>
  <w:style w:type="character" w:styleId="983" w:customStyle="1">
    <w:name w:val="题注 Char"/>
    <w:qFormat/>
    <w:rPr>
      <w:rFonts w:ascii="Times New Roman" w:hAnsi="Times New Roman" w:eastAsia="宋体" w:cs="Times New Roman"/>
      <w:sz w:val="20"/>
    </w:rPr>
  </w:style>
  <w:style w:type="character" w:styleId="984" w:customStyle="1">
    <w:name w:val="脚注文本 Char"/>
    <w:qFormat/>
    <w:rPr>
      <w:rFonts w:ascii="Times New Roman" w:hAnsi="Times New Roman" w:eastAsia="宋体" w:cs="Times New Roman"/>
      <w:sz w:val="20"/>
    </w:rPr>
  </w:style>
  <w:style w:type="character" w:styleId="985" w:customStyle="1">
    <w:name w:val="_Style 336"/>
    <w:qFormat/>
    <w:rPr>
      <w:rFonts w:ascii="Times New Roman" w:hAnsi="Times New Roman" w:eastAsia="宋体" w:cs="Times New Roman"/>
      <w:i/>
      <w:color w:val="auto"/>
      <w:sz w:val="21"/>
    </w:rPr>
  </w:style>
  <w:style w:type="character" w:styleId="986" w:customStyle="1">
    <w:name w:val="表格 Char"/>
    <w:qFormat/>
    <w:rPr>
      <w:rFonts w:ascii="Times New Roman" w:hAnsi="Times New Roman" w:eastAsia="宋体" w:cs="Times New Roman"/>
      <w:color w:val="000000"/>
      <w:sz w:val="20"/>
    </w:rPr>
  </w:style>
  <w:style w:type="character" w:styleId="987" w:customStyle="1">
    <w:name w:val="批注主题 字符"/>
    <w:qFormat/>
    <w:rPr>
      <w:rFonts w:ascii="Times New Roman" w:hAnsi="Times New Roman" w:eastAsia="宋体" w:cs="Times New Roman"/>
      <w:b/>
      <w:sz w:val="20"/>
    </w:rPr>
  </w:style>
  <w:style w:type="character" w:styleId="988" w:customStyle="1">
    <w:name w:val="图注 Char Char"/>
    <w:qFormat/>
    <w:rPr>
      <w:rFonts w:ascii="Times New Roman" w:hAnsi="Times New Roman" w:eastAsia="宋体" w:cs="Times New Roman"/>
      <w:sz w:val="20"/>
    </w:rPr>
  </w:style>
  <w:style w:type="character" w:styleId="989" w:customStyle="1">
    <w:name w:val="页码1"/>
    <w:qFormat/>
    <w:rPr>
      <w:rFonts w:ascii="Times New Roman" w:hAnsi="Times New Roman" w:eastAsia="宋体" w:cs="Times New Roman"/>
      <w:sz w:val="20"/>
    </w:rPr>
  </w:style>
  <w:style w:type="character" w:styleId="990" w:customStyle="1">
    <w:name w:val="列表框1 Char Char"/>
    <w:qFormat/>
    <w:rPr>
      <w:rFonts w:ascii="Times New Roman" w:hAnsi="Times New Roman" w:eastAsia="宋体" w:cs="Times New Roman"/>
      <w:sz w:val="20"/>
    </w:rPr>
  </w:style>
  <w:style w:type="character" w:styleId="991" w:customStyle="1">
    <w:name w:val="1ji Char"/>
    <w:qFormat/>
    <w:rPr>
      <w:rFonts w:ascii="Times New Roman" w:hAnsi="Times New Roman" w:eastAsia="宋体" w:cs="Times New Roman"/>
      <w:b/>
      <w:sz w:val="20"/>
    </w:rPr>
  </w:style>
  <w:style w:type="character" w:styleId="992" w:customStyle="1">
    <w:name w:val="正文文本缩进 Char"/>
    <w:qFormat/>
    <w:rPr>
      <w:rFonts w:ascii="Times New Roman" w:hAnsi="Times New Roman" w:eastAsia="宋体" w:cs="Times New Roman"/>
      <w:sz w:val="20"/>
    </w:rPr>
  </w:style>
  <w:style w:type="character" w:styleId="993" w:customStyle="1">
    <w:name w:val="标准文本 Char Char"/>
    <w:qFormat/>
    <w:rPr>
      <w:rFonts w:ascii="Times New Roman" w:hAnsi="Times New Roman" w:eastAsia="宋体" w:cs="Times New Roman"/>
      <w:sz w:val="20"/>
    </w:rPr>
  </w:style>
  <w:style w:type="character" w:styleId="994" w:customStyle="1">
    <w:name w:val="表格用 Char"/>
    <w:qFormat/>
    <w:rPr>
      <w:rFonts w:ascii="Times New Roman" w:hAnsi="Times New Roman" w:eastAsia="宋体" w:cs="Times New Roman"/>
      <w:color w:val="000000"/>
      <w:sz w:val="20"/>
    </w:rPr>
  </w:style>
  <w:style w:type="character" w:styleId="995" w:customStyle="1">
    <w:name w:val="标题 7 Char1"/>
    <w:qFormat/>
    <w:rPr>
      <w:rFonts w:ascii="Times New Roman" w:hAnsi="Times New Roman" w:eastAsia="宋体" w:cs="Times New Roman"/>
      <w:b/>
      <w:sz w:val="20"/>
    </w:rPr>
  </w:style>
  <w:style w:type="character" w:styleId="996" w:customStyle="1">
    <w:name w:val="H 3 Char"/>
    <w:qFormat/>
    <w:rPr>
      <w:rFonts w:ascii="Times New Roman" w:hAnsi="Times New Roman" w:eastAsia="宋体" w:cs="Times New Roman"/>
      <w:b/>
      <w:sz w:val="20"/>
    </w:rPr>
  </w:style>
  <w:style w:type="character" w:styleId="997" w:customStyle="1">
    <w:name w:val="正文文本缩进 3 字符"/>
    <w:qFormat/>
    <w:rPr>
      <w:rFonts w:ascii="Times New Roman" w:hAnsi="Times New Roman" w:eastAsia="宋体" w:cs="Times New Roman"/>
      <w:sz w:val="16"/>
      <w:szCs w:val="16"/>
    </w:rPr>
  </w:style>
  <w:style w:type="character" w:styleId="998" w:customStyle="1">
    <w:name w:val="标题 Char"/>
    <w:qFormat/>
    <w:rPr>
      <w:rFonts w:ascii="Times New Roman" w:hAnsi="Times New Roman" w:eastAsia="宋体" w:cs="Times New Roman"/>
      <w:b/>
      <w:sz w:val="20"/>
    </w:rPr>
  </w:style>
  <w:style w:type="character" w:styleId="999" w:customStyle="1">
    <w:name w:val="H 4 Char"/>
    <w:qFormat/>
    <w:rPr>
      <w:rFonts w:ascii="Times New Roman" w:hAnsi="Times New Roman" w:eastAsia="宋体" w:cs="Times New Roman"/>
      <w:b/>
      <w:sz w:val="20"/>
    </w:rPr>
  </w:style>
  <w:style w:type="character" w:styleId="1000" w:customStyle="1">
    <w:name w:val="批注主题 Char1"/>
    <w:qFormat/>
    <w:rPr>
      <w:rFonts w:ascii="Times New Roman" w:hAnsi="Times New Roman" w:eastAsia="宋体" w:cs="Times New Roman"/>
      <w:b/>
      <w:sz w:val="20"/>
    </w:rPr>
  </w:style>
  <w:style w:type="character" w:styleId="1001" w:customStyle="1">
    <w:name w:val="正文文本缩进 Char1"/>
    <w:qFormat/>
    <w:rPr>
      <w:rFonts w:ascii="Times New Roman" w:hAnsi="Times New Roman" w:eastAsia="宋体" w:cs="Times New Roman"/>
      <w:sz w:val="20"/>
    </w:rPr>
  </w:style>
  <w:style w:type="character" w:styleId="1002" w:customStyle="1">
    <w:name w:val="正文文本 3 Char"/>
    <w:qFormat/>
    <w:rPr>
      <w:rFonts w:ascii="Times New Roman" w:hAnsi="Times New Roman" w:eastAsia="宋体" w:cs="Times New Roman"/>
      <w:sz w:val="20"/>
    </w:rPr>
  </w:style>
  <w:style w:type="character" w:styleId="1003" w:customStyle="1">
    <w:name w:val="正文首行缩进 2 Char"/>
    <w:qFormat/>
    <w:rPr>
      <w:rFonts w:ascii="Times New Roman" w:hAnsi="Times New Roman" w:eastAsia="宋体" w:cs="Times New Roman"/>
      <w:sz w:val="20"/>
    </w:rPr>
  </w:style>
  <w:style w:type="character" w:styleId="1004" w:customStyle="1">
    <w:name w:val="页眉 Char1"/>
    <w:qFormat/>
    <w:rPr>
      <w:rFonts w:ascii="Times New Roman" w:hAnsi="Times New Roman" w:eastAsia="宋体" w:cs="Times New Roman"/>
      <w:sz w:val="20"/>
    </w:rPr>
  </w:style>
  <w:style w:type="character" w:styleId="1005" w:customStyle="1">
    <w:name w:val="Char Char2"/>
    <w:qFormat/>
    <w:rPr>
      <w:rFonts w:ascii="Times New Roman" w:hAnsi="Times New Roman" w:eastAsia="宋体" w:cs="Times New Roman"/>
      <w:sz w:val="20"/>
    </w:rPr>
  </w:style>
  <w:style w:type="character" w:styleId="1006" w:customStyle="1">
    <w:name w:val="样式 首行缩进:  2 字符 Char1"/>
    <w:qFormat/>
    <w:rPr>
      <w:rFonts w:ascii="Times New Roman" w:hAnsi="Times New Roman" w:eastAsia="宋体" w:cs="Times New Roman"/>
      <w:sz w:val="20"/>
    </w:rPr>
  </w:style>
  <w:style w:type="character" w:styleId="1007" w:customStyle="1">
    <w:name w:val="标题 2 Char"/>
    <w:qFormat/>
    <w:rPr>
      <w:rFonts w:ascii="Times New Roman" w:hAnsi="Times New Roman" w:eastAsia="宋体" w:cs="Times New Roman"/>
      <w:b/>
      <w:sz w:val="20"/>
    </w:rPr>
  </w:style>
  <w:style w:type="character" w:styleId="1008" w:customStyle="1">
    <w:name w:val="表格文字图表文字 Char Char"/>
    <w:qFormat/>
    <w:rPr>
      <w:rFonts w:ascii="Times New Roman" w:hAnsi="Times New Roman" w:eastAsia="宋体" w:cs="Times New Roman"/>
      <w:sz w:val="20"/>
    </w:rPr>
  </w:style>
  <w:style w:type="character" w:styleId="1009" w:customStyle="1">
    <w:name w:val="图片 Char"/>
    <w:qFormat/>
    <w:rPr>
      <w:rFonts w:ascii="Times New Roman" w:hAnsi="Times New Roman" w:eastAsia="宋体" w:cs="Times New Roman"/>
      <w:sz w:val="20"/>
    </w:rPr>
  </w:style>
  <w:style w:type="character" w:styleId="1010" w:customStyle="1">
    <w:name w:val="标题 6 Char"/>
    <w:qFormat/>
    <w:rPr>
      <w:rFonts w:ascii="Times New Roman" w:hAnsi="Times New Roman" w:eastAsia="宋体" w:cs="Times New Roman"/>
      <w:b/>
      <w:sz w:val="20"/>
    </w:rPr>
  </w:style>
  <w:style w:type="character" w:styleId="1011" w:customStyle="1">
    <w:name w:val="标题 4 Char"/>
    <w:qFormat/>
    <w:rPr>
      <w:rFonts w:ascii="Times New Roman" w:hAnsi="Times New Roman" w:eastAsia="宋体" w:cs="Times New Roman"/>
      <w:b/>
      <w:sz w:val="20"/>
    </w:rPr>
  </w:style>
  <w:style w:type="character" w:styleId="1012" w:customStyle="1">
    <w:name w:val="文档结构图 Char1"/>
    <w:qFormat/>
    <w:rPr>
      <w:rFonts w:ascii="Times New Roman" w:hAnsi="Times New Roman" w:eastAsia="宋体" w:cs="Times New Roman"/>
      <w:sz w:val="20"/>
    </w:rPr>
  </w:style>
  <w:style w:type="character" w:styleId="1013" w:customStyle="1">
    <w:name w:val="项目符0 Char"/>
    <w:qFormat/>
    <w:rPr>
      <w:rFonts w:ascii="Times New Roman" w:hAnsi="Times New Roman" w:eastAsia="宋体" w:cs="Times New Roman"/>
      <w:sz w:val="20"/>
    </w:rPr>
  </w:style>
  <w:style w:type="character" w:styleId="1014" w:customStyle="1">
    <w:name w:val="正文文本缩进 3 Char"/>
    <w:qFormat/>
    <w:rPr>
      <w:rFonts w:ascii="Times New Roman" w:hAnsi="Times New Roman" w:eastAsia="宋体" w:cs="Times New Roman"/>
      <w:sz w:val="20"/>
    </w:rPr>
  </w:style>
  <w:style w:type="character" w:styleId="1015" w:customStyle="1">
    <w:name w:val="Char Char3"/>
    <w:qFormat/>
    <w:rPr>
      <w:rFonts w:ascii="Times New Roman" w:hAnsi="Times New Roman" w:eastAsia="宋体" w:cs="Times New Roman"/>
      <w:sz w:val="20"/>
    </w:rPr>
  </w:style>
  <w:style w:type="character" w:styleId="1016" w:customStyle="1">
    <w:name w:val="纯文本 Char"/>
    <w:qFormat/>
    <w:rPr>
      <w:rFonts w:ascii="Times New Roman" w:hAnsi="Times New Roman" w:eastAsia="宋体" w:cs="Times New Roman"/>
      <w:sz w:val="20"/>
    </w:rPr>
  </w:style>
  <w:style w:type="character" w:styleId="1017" w:customStyle="1">
    <w:name w:val="正文文本缩进 2 Char1"/>
    <w:qFormat/>
    <w:rPr>
      <w:rFonts w:ascii="Times New Roman" w:hAnsi="Times New Roman" w:eastAsia="宋体" w:cs="Times New Roman"/>
      <w:sz w:val="20"/>
    </w:rPr>
  </w:style>
  <w:style w:type="character" w:styleId="1018" w:customStyle="1">
    <w:name w:val="标题 8 Char"/>
    <w:qFormat/>
    <w:rPr>
      <w:rFonts w:ascii="Times New Roman" w:hAnsi="Times New Roman" w:eastAsia="宋体" w:cs="Times New Roman"/>
      <w:sz w:val="20"/>
    </w:rPr>
  </w:style>
  <w:style w:type="character" w:styleId="1019" w:customStyle="1">
    <w:name w:val="标题 6 Char1"/>
    <w:qFormat/>
    <w:rPr>
      <w:rFonts w:ascii="Times New Roman" w:hAnsi="Times New Roman" w:eastAsia="宋体" w:cs="Times New Roman"/>
      <w:b/>
      <w:sz w:val="20"/>
    </w:rPr>
  </w:style>
  <w:style w:type="character" w:styleId="1020" w:customStyle="1">
    <w:name w:val="case31"/>
    <w:qFormat/>
    <w:rPr>
      <w:rFonts w:ascii="Times New Roman" w:hAnsi="Times New Roman" w:eastAsia="宋体" w:cs="Times New Roman"/>
      <w:sz w:val="20"/>
    </w:rPr>
  </w:style>
  <w:style w:type="character" w:styleId="1021" w:customStyle="1">
    <w:name w:val="正文文本 Char"/>
    <w:qFormat/>
    <w:rPr>
      <w:rFonts w:ascii="Times New Roman" w:hAnsi="Times New Roman" w:eastAsia="宋体" w:cs="Times New Roman"/>
      <w:sz w:val="20"/>
    </w:rPr>
  </w:style>
  <w:style w:type="paragraph" w:styleId="1022" w:customStyle="1">
    <w:name w:val="节标题"/>
    <w:basedOn w:val="842"/>
    <w:next w:val="1023"/>
    <w:qFormat/>
    <w:pPr>
      <w:ind w:left="0" w:firstLine="5120"/>
      <w:jc w:val="center"/>
      <w:spacing w:before="0" w:after="0" w:line="289" w:lineRule="atLeast"/>
    </w:pPr>
    <w:rPr>
      <w:rFonts w:ascii="Times New Roman" w:hAnsi="Times New Roman" w:cs="Times New Roman"/>
    </w:rPr>
  </w:style>
  <w:style w:type="paragraph" w:styleId="1023" w:customStyle="1">
    <w:name w:val="文档标题6"/>
    <w:basedOn w:val="848"/>
    <w:next w:val="841"/>
    <w:qFormat/>
    <w:pPr>
      <w:ind w:left="1134" w:firstLine="20"/>
      <w:spacing w:before="280" w:after="280" w:line="360" w:lineRule="auto"/>
      <w:outlineLvl w:val="5"/>
    </w:pPr>
  </w:style>
  <w:style w:type="paragraph" w:styleId="1024" w:customStyle="1">
    <w:name w:val="正文段"/>
    <w:basedOn w:val="842"/>
    <w:next w:val="1025"/>
    <w:qFormat/>
    <w:pPr>
      <w:ind w:left="454" w:firstLine="1222"/>
      <w:spacing w:before="0" w:after="240" w:line="240" w:lineRule="atLeast"/>
    </w:pPr>
    <w:rPr>
      <w:rFonts w:ascii="Times New Roman" w:hAnsi="Times New Roman" w:cs="Times New Roman"/>
    </w:rPr>
  </w:style>
  <w:style w:type="paragraph" w:styleId="1025" w:customStyle="1">
    <w:name w:val="批注主题1"/>
    <w:next w:val="841"/>
    <w:qFormat/>
    <w:pPr>
      <w:ind w:left="200" w:firstLine="4808"/>
      <w:spacing w:line="360" w:lineRule="auto"/>
    </w:pPr>
    <w:rPr>
      <w:rFonts w:ascii="Calibri" w:hAnsi="Calibri"/>
    </w:rPr>
  </w:style>
  <w:style w:type="paragraph" w:styleId="1026" w:customStyle="1">
    <w:name w:val="_Style 224"/>
    <w:next w:val="1027"/>
    <w:qFormat/>
    <w:pPr>
      <w:ind w:firstLine="3584"/>
    </w:pPr>
    <w:rPr>
      <w:rFonts w:ascii="Calibri" w:hAnsi="Calibri"/>
    </w:rPr>
  </w:style>
  <w:style w:type="paragraph" w:styleId="1027" w:customStyle="1">
    <w:name w:val="编号1"/>
    <w:basedOn w:val="842"/>
    <w:next w:val="1028"/>
    <w:qFormat/>
    <w:pPr>
      <w:ind w:left="360" w:right="210" w:firstLine="2200"/>
      <w:spacing w:before="0" w:after="0" w:line="240" w:lineRule="auto"/>
    </w:pPr>
    <w:rPr>
      <w:rFonts w:ascii="Times New Roman" w:hAnsi="Times New Roman" w:cs="Times New Roman"/>
    </w:rPr>
  </w:style>
  <w:style w:type="paragraph" w:styleId="1028" w:customStyle="1">
    <w:name w:val="图片"/>
    <w:basedOn w:val="842"/>
    <w:next w:val="1029"/>
    <w:qFormat/>
    <w:pPr>
      <w:ind w:left="-283" w:firstLine="2674"/>
      <w:jc w:val="center"/>
      <w:spacing w:before="0" w:after="0" w:line="360" w:lineRule="auto"/>
    </w:pPr>
    <w:rPr>
      <w:rFonts w:ascii="Times New Roman" w:hAnsi="Times New Roman" w:cs="Times New Roman"/>
    </w:rPr>
  </w:style>
  <w:style w:type="paragraph" w:styleId="1029" w:customStyle="1">
    <w:name w:val="样式 目录 3 + 左侧:  2 字符"/>
    <w:next w:val="894"/>
    <w:qFormat/>
    <w:pPr>
      <w:ind w:left="400" w:firstLine="5120"/>
      <w:spacing w:line="360" w:lineRule="auto"/>
      <w:widowControl w:val="off"/>
    </w:pPr>
    <w:rPr>
      <w:rFonts w:ascii="Calibri" w:hAnsi="Calibri"/>
    </w:rPr>
  </w:style>
  <w:style w:type="paragraph" w:styleId="1030" w:customStyle="1">
    <w:name w:val="图注"/>
    <w:next w:val="1031"/>
    <w:qFormat/>
    <w:pPr>
      <w:ind w:left="360" w:firstLine="2152"/>
      <w:jc w:val="center"/>
    </w:pPr>
    <w:rPr>
      <w:rFonts w:ascii="Calibri" w:hAnsi="Calibri"/>
    </w:rPr>
  </w:style>
  <w:style w:type="paragraph" w:styleId="1031" w:customStyle="1">
    <w:name w:val="列表编号 41"/>
    <w:basedOn w:val="842"/>
    <w:next w:val="1032"/>
    <w:qFormat/>
    <w:pPr>
      <w:ind w:left="1620" w:firstLine="2712"/>
      <w:spacing w:before="0" w:after="0" w:line="360" w:lineRule="auto"/>
    </w:pPr>
    <w:rPr>
      <w:rFonts w:ascii="Times New Roman" w:hAnsi="Times New Roman" w:cs="Times New Roman"/>
    </w:rPr>
  </w:style>
  <w:style w:type="paragraph" w:styleId="1032" w:customStyle="1">
    <w:name w:val="项目符0"/>
    <w:basedOn w:val="842"/>
    <w:next w:val="1033"/>
    <w:qFormat/>
    <w:pPr>
      <w:ind w:left="300" w:right="57" w:firstLine="2760"/>
      <w:spacing w:before="0" w:after="0" w:line="300" w:lineRule="auto"/>
    </w:pPr>
    <w:rPr>
      <w:rFonts w:ascii="Times New Roman" w:hAnsi="Times New Roman" w:cs="Times New Roman"/>
    </w:rPr>
  </w:style>
  <w:style w:type="paragraph" w:styleId="1033" w:customStyle="1">
    <w:name w:val="宏文本1"/>
    <w:next w:val="1034"/>
    <w:qFormat/>
    <w:pPr>
      <w:ind w:firstLine="5632"/>
      <w:widowControl w:val="off"/>
    </w:pPr>
    <w:rPr>
      <w:rFonts w:ascii="Calibri" w:hAnsi="Calibri"/>
    </w:rPr>
  </w:style>
  <w:style w:type="paragraph" w:styleId="1034" w:customStyle="1">
    <w:name w:val="Item Step in Table"/>
    <w:next w:val="1035"/>
    <w:qFormat/>
    <w:pPr>
      <w:ind w:left="397" w:firstLine="3699"/>
      <w:jc w:val="both"/>
      <w:spacing w:before="40" w:after="40"/>
    </w:pPr>
    <w:rPr>
      <w:rFonts w:ascii="Calibri" w:hAnsi="Calibri"/>
    </w:rPr>
  </w:style>
  <w:style w:type="paragraph" w:styleId="1035" w:customStyle="1">
    <w:name w:val="Char Char Char Char Char Char1 Char Char Char Char Char Char"/>
    <w:basedOn w:val="842"/>
    <w:next w:val="1036"/>
    <w:qFormat/>
    <w:pPr>
      <w:ind w:left="0" w:firstLine="2560"/>
      <w:spacing w:before="0" w:after="0" w:line="240" w:lineRule="auto"/>
    </w:pPr>
    <w:rPr>
      <w:rFonts w:ascii="Times New Roman" w:hAnsi="Times New Roman" w:cs="Times New Roman"/>
    </w:rPr>
  </w:style>
  <w:style w:type="paragraph" w:styleId="1036" w:customStyle="1">
    <w:name w:val="Char Char1"/>
    <w:basedOn w:val="842"/>
    <w:next w:val="1037"/>
    <w:qFormat/>
    <w:pPr>
      <w:ind w:left="0" w:firstLine="3584"/>
      <w:spacing w:before="0" w:after="160" w:line="240" w:lineRule="exact"/>
    </w:pPr>
    <w:rPr>
      <w:rFonts w:ascii="Times New Roman" w:hAnsi="Times New Roman" w:cs="Times New Roman"/>
    </w:rPr>
  </w:style>
  <w:style w:type="paragraph" w:styleId="1037" w:customStyle="1">
    <w:name w:val="样式 标题 3 + 行距: 1.5 倍行距"/>
    <w:basedOn w:val="845"/>
    <w:next w:val="900"/>
    <w:qFormat/>
    <w:pPr>
      <w:ind w:left="200" w:firstLine="18"/>
      <w:spacing w:before="0" w:after="0" w:line="360" w:lineRule="auto"/>
      <w:outlineLvl w:val="2"/>
    </w:pPr>
  </w:style>
  <w:style w:type="paragraph" w:styleId="1038" w:customStyle="1">
    <w:name w:val="xl76"/>
    <w:basedOn w:val="842"/>
    <w:next w:val="897"/>
    <w:qFormat/>
    <w:pPr>
      <w:ind w:left="0" w:firstLine="3584"/>
      <w:jc w:val="center"/>
      <w:spacing w:before="280" w:after="280" w:line="240" w:lineRule="auto"/>
    </w:pPr>
    <w:rPr>
      <w:rFonts w:ascii="Times New Roman" w:hAnsi="Times New Roman" w:cs="Times New Roman"/>
    </w:rPr>
  </w:style>
  <w:style w:type="paragraph" w:styleId="1039" w:customStyle="1">
    <w:name w:val="xl26"/>
    <w:basedOn w:val="842"/>
    <w:next w:val="1040"/>
    <w:qFormat/>
    <w:pPr>
      <w:ind w:left="0" w:firstLine="20"/>
      <w:jc w:val="center"/>
      <w:spacing w:before="280" w:after="280" w:line="240" w:lineRule="auto"/>
      <w:shd w:val="clear" w:color="000000" w:fill="ffffff"/>
    </w:pPr>
    <w:rPr>
      <w:rFonts w:ascii="Times New Roman" w:hAnsi="Times New Roman" w:cs="Times New Roman"/>
    </w:rPr>
  </w:style>
  <w:style w:type="paragraph" w:styleId="1040" w:customStyle="1">
    <w:name w:val="Char1 Char Char"/>
    <w:basedOn w:val="842"/>
    <w:next w:val="880"/>
    <w:qFormat/>
    <w:pPr>
      <w:ind w:left="0" w:firstLine="2560"/>
      <w:spacing w:before="0" w:after="0" w:line="240" w:lineRule="auto"/>
    </w:pPr>
    <w:rPr>
      <w:rFonts w:ascii="Times New Roman" w:hAnsi="Times New Roman" w:cs="Times New Roman"/>
    </w:rPr>
  </w:style>
  <w:style w:type="paragraph" w:styleId="1041" w:customStyle="1">
    <w:name w:val="纯文本2"/>
    <w:basedOn w:val="842"/>
    <w:next w:val="1042"/>
    <w:qFormat/>
    <w:pPr>
      <w:ind w:left="0" w:firstLine="3584"/>
      <w:spacing w:before="0" w:after="0" w:line="240" w:lineRule="auto"/>
    </w:pPr>
    <w:rPr>
      <w:rFonts w:ascii="Times New Roman" w:hAnsi="Times New Roman" w:cs="Times New Roman"/>
    </w:rPr>
  </w:style>
  <w:style w:type="paragraph" w:styleId="1042" w:customStyle="1">
    <w:name w:val="xl69"/>
    <w:basedOn w:val="842"/>
    <w:next w:val="1043"/>
    <w:qFormat/>
    <w:pPr>
      <w:ind w:left="0" w:firstLine="3584"/>
      <w:spacing w:before="280" w:after="280" w:line="240" w:lineRule="auto"/>
    </w:pPr>
    <w:rPr>
      <w:rFonts w:ascii="Times New Roman" w:hAnsi="Times New Roman" w:cs="Times New Roman"/>
    </w:rPr>
  </w:style>
  <w:style w:type="paragraph" w:styleId="1043" w:customStyle="1">
    <w:name w:val="Char Char Char"/>
    <w:basedOn w:val="842"/>
    <w:next w:val="1044"/>
    <w:qFormat/>
    <w:pPr>
      <w:ind w:left="0" w:firstLine="2560"/>
      <w:spacing w:before="0" w:after="0" w:line="240" w:lineRule="auto"/>
    </w:pPr>
    <w:rPr>
      <w:rFonts w:ascii="Times New Roman" w:hAnsi="Times New Roman" w:cs="Times New Roman"/>
    </w:rPr>
  </w:style>
  <w:style w:type="paragraph" w:styleId="1044" w:customStyle="1">
    <w:name w:val="表格"/>
    <w:basedOn w:val="842"/>
    <w:next w:val="1039"/>
    <w:qFormat/>
    <w:pPr>
      <w:ind w:left="0" w:firstLine="2560"/>
      <w:spacing w:before="0" w:after="0" w:line="360" w:lineRule="auto"/>
    </w:pPr>
    <w:rPr>
      <w:rFonts w:ascii="Times New Roman" w:hAnsi="Times New Roman" w:cs="Times New Roman"/>
    </w:rPr>
  </w:style>
  <w:style w:type="paragraph" w:styleId="1045" w:customStyle="1">
    <w:name w:val="xl68"/>
    <w:basedOn w:val="842"/>
    <w:next w:val="1046"/>
    <w:qFormat/>
    <w:pPr>
      <w:ind w:left="100" w:firstLine="5220"/>
      <w:spacing w:before="280" w:after="280" w:line="240" w:lineRule="auto"/>
    </w:pPr>
    <w:rPr>
      <w:rFonts w:ascii="Times New Roman" w:hAnsi="Times New Roman" w:cs="Times New Roman"/>
    </w:rPr>
  </w:style>
  <w:style w:type="paragraph" w:styleId="1046" w:customStyle="1">
    <w:name w:val="Char1"/>
    <w:basedOn w:val="842"/>
    <w:next w:val="1047"/>
    <w:qFormat/>
    <w:pPr>
      <w:ind w:left="0" w:firstLine="2560"/>
      <w:spacing w:before="0" w:after="0" w:line="240" w:lineRule="auto"/>
    </w:pPr>
    <w:rPr>
      <w:rFonts w:ascii="Times New Roman" w:hAnsi="Times New Roman" w:cs="Times New Roman"/>
    </w:rPr>
  </w:style>
  <w:style w:type="paragraph" w:styleId="1047" w:customStyle="1">
    <w:name w:val="需求文档正文样式"/>
    <w:basedOn w:val="842"/>
    <w:next w:val="1048"/>
    <w:qFormat/>
    <w:pPr>
      <w:ind w:left="437" w:firstLine="2741"/>
      <w:spacing w:before="0" w:after="0" w:line="360" w:lineRule="auto"/>
    </w:pPr>
    <w:rPr>
      <w:rFonts w:ascii="Times New Roman" w:hAnsi="Times New Roman" w:cs="Times New Roman"/>
    </w:rPr>
  </w:style>
  <w:style w:type="paragraph" w:styleId="1048" w:customStyle="1">
    <w:name w:val="xl74"/>
    <w:basedOn w:val="842"/>
    <w:next w:val="1049"/>
    <w:qFormat/>
    <w:pPr>
      <w:ind w:left="0" w:firstLine="16"/>
      <w:jc w:val="center"/>
      <w:spacing w:before="280" w:after="280" w:line="240" w:lineRule="auto"/>
      <w:shd w:val="clear" w:color="000000" w:fill="538dd5"/>
    </w:pPr>
    <w:rPr>
      <w:rFonts w:ascii="Times New Roman" w:hAnsi="Times New Roman" w:cs="Times New Roman"/>
    </w:rPr>
  </w:style>
  <w:style w:type="paragraph" w:styleId="1049" w:customStyle="1">
    <w:name w:val="xl88"/>
    <w:basedOn w:val="842"/>
    <w:next w:val="1050"/>
    <w:qFormat/>
    <w:pPr>
      <w:ind w:left="0" w:firstLine="5120"/>
      <w:spacing w:before="280" w:after="280" w:line="240" w:lineRule="auto"/>
    </w:pPr>
    <w:rPr>
      <w:rFonts w:ascii="Times New Roman" w:hAnsi="Times New Roman" w:cs="Times New Roman"/>
    </w:rPr>
  </w:style>
  <w:style w:type="paragraph" w:styleId="1050" w:customStyle="1">
    <w:name w:val="xl70"/>
    <w:basedOn w:val="842"/>
    <w:next w:val="896"/>
    <w:qFormat/>
    <w:pPr>
      <w:ind w:left="0" w:firstLine="1024"/>
      <w:spacing w:before="280" w:after="280" w:line="240" w:lineRule="auto"/>
    </w:pPr>
    <w:rPr>
      <w:rFonts w:ascii="Times New Roman" w:hAnsi="Times New Roman" w:cs="Times New Roman"/>
    </w:rPr>
  </w:style>
  <w:style w:type="paragraph" w:styleId="1051" w:customStyle="1">
    <w:name w:val="文档标题5"/>
    <w:basedOn w:val="847"/>
    <w:next w:val="841"/>
    <w:qFormat/>
    <w:pPr>
      <w:ind w:left="992" w:firstLine="18"/>
      <w:spacing w:before="280" w:after="280" w:line="360" w:lineRule="auto"/>
      <w:outlineLvl w:val="4"/>
    </w:pPr>
  </w:style>
  <w:style w:type="paragraph" w:styleId="1052" w:customStyle="1">
    <w:name w:val="样式 加粗 居中"/>
    <w:basedOn w:val="842"/>
    <w:next w:val="1053"/>
    <w:qFormat/>
    <w:pPr>
      <w:ind w:left="0" w:firstLine="2560"/>
      <w:jc w:val="center"/>
      <w:spacing w:before="0" w:after="0" w:line="360" w:lineRule="auto"/>
    </w:pPr>
    <w:rPr>
      <w:rFonts w:ascii="Times New Roman" w:hAnsi="Times New Roman" w:cs="Times New Roman"/>
    </w:rPr>
  </w:style>
  <w:style w:type="paragraph" w:styleId="1053" w:customStyle="1">
    <w:name w:val="_Style 12"/>
    <w:next w:val="1054"/>
    <w:qFormat/>
    <w:pPr>
      <w:ind w:firstLine="14"/>
      <w:spacing w:line="360" w:lineRule="auto"/>
      <w:shd w:val="clear" w:color="000000" w:fill="000080"/>
    </w:pPr>
    <w:rPr>
      <w:rFonts w:ascii="Calibri" w:hAnsi="Calibri"/>
    </w:rPr>
  </w:style>
  <w:style w:type="paragraph" w:styleId="1054" w:customStyle="1">
    <w:name w:val="正文文本缩进1"/>
    <w:basedOn w:val="842"/>
    <w:next w:val="1055"/>
    <w:qFormat/>
    <w:pPr>
      <w:ind w:left="420" w:firstLine="3584"/>
      <w:spacing w:before="0" w:after="120" w:line="240" w:lineRule="auto"/>
    </w:pPr>
    <w:rPr>
      <w:rFonts w:ascii="Times New Roman" w:hAnsi="Times New Roman" w:cs="Times New Roman"/>
    </w:rPr>
  </w:style>
  <w:style w:type="paragraph" w:styleId="1055" w:customStyle="1">
    <w:name w:val="列表编号 31"/>
    <w:basedOn w:val="842"/>
    <w:next w:val="898"/>
    <w:qFormat/>
    <w:pPr>
      <w:ind w:left="1200" w:firstLine="2712"/>
      <w:spacing w:before="0" w:after="0" w:line="360" w:lineRule="auto"/>
    </w:pPr>
    <w:rPr>
      <w:rFonts w:ascii="Times New Roman" w:hAnsi="Times New Roman" w:cs="Times New Roman"/>
    </w:rPr>
  </w:style>
  <w:style w:type="paragraph" w:styleId="1056" w:customStyle="1">
    <w:name w:val="三号 居中"/>
    <w:basedOn w:val="842"/>
    <w:next w:val="1057"/>
    <w:qFormat/>
    <w:pPr>
      <w:ind w:left="0" w:firstLine="6144"/>
      <w:jc w:val="center"/>
      <w:spacing w:before="0" w:after="0" w:line="360" w:lineRule="auto"/>
    </w:pPr>
    <w:rPr>
      <w:rFonts w:ascii="Times New Roman" w:hAnsi="Times New Roman" w:cs="Times New Roman"/>
    </w:rPr>
  </w:style>
  <w:style w:type="paragraph" w:styleId="1057" w:customStyle="1">
    <w:name w:val="列出段落1"/>
    <w:basedOn w:val="842"/>
    <w:next w:val="1058"/>
    <w:qFormat/>
    <w:pPr>
      <w:ind w:left="420" w:firstLine="3748"/>
      <w:spacing w:before="0" w:after="0" w:line="240" w:lineRule="auto"/>
    </w:pPr>
    <w:rPr>
      <w:rFonts w:ascii="Times New Roman" w:hAnsi="Times New Roman" w:cs="Times New Roman"/>
    </w:rPr>
  </w:style>
  <w:style w:type="paragraph" w:styleId="1058" w:customStyle="1">
    <w:name w:val="Char Char Char Char Char Char1 Char Char Char1 Char Char Char"/>
    <w:basedOn w:val="842"/>
    <w:next w:val="1059"/>
    <w:qFormat/>
    <w:pPr>
      <w:ind w:left="0" w:firstLine="2560"/>
      <w:spacing w:before="0" w:after="0" w:line="240" w:lineRule="auto"/>
    </w:pPr>
    <w:rPr>
      <w:rFonts w:ascii="Times New Roman" w:hAnsi="Times New Roman" w:cs="Times New Roman"/>
    </w:rPr>
  </w:style>
  <w:style w:type="paragraph" w:styleId="1059" w:customStyle="1">
    <w:name w:val="Char Char Char Char Char Char1 Char Char Char1 Char"/>
    <w:basedOn w:val="842"/>
    <w:next w:val="1060"/>
    <w:qFormat/>
    <w:pPr>
      <w:ind w:left="0" w:firstLine="2560"/>
      <w:spacing w:before="0" w:after="0" w:line="240" w:lineRule="auto"/>
    </w:pPr>
    <w:rPr>
      <w:rFonts w:ascii="Times New Roman" w:hAnsi="Times New Roman" w:cs="Times New Roman"/>
    </w:rPr>
  </w:style>
  <w:style w:type="paragraph" w:styleId="1060" w:customStyle="1">
    <w:name w:val="正文符号4"/>
    <w:basedOn w:val="842"/>
    <w:next w:val="1052"/>
    <w:qFormat/>
    <w:pPr>
      <w:ind w:left="0" w:firstLine="5632"/>
      <w:spacing w:before="0" w:after="0" w:line="240" w:lineRule="auto"/>
    </w:pPr>
    <w:rPr>
      <w:rFonts w:ascii="Times New Roman" w:hAnsi="Times New Roman" w:cs="Times New Roman"/>
    </w:rPr>
  </w:style>
  <w:style w:type="paragraph" w:styleId="1061" w:customStyle="1">
    <w:name w:val="加粗（居中）"/>
    <w:next w:val="1062"/>
    <w:qFormat/>
    <w:pPr>
      <w:ind w:firstLine="2560"/>
    </w:pPr>
    <w:rPr>
      <w:rFonts w:ascii="Calibri" w:hAnsi="Calibri"/>
    </w:rPr>
  </w:style>
  <w:style w:type="paragraph" w:styleId="1062" w:customStyle="1">
    <w:name w:val="xl65"/>
    <w:basedOn w:val="842"/>
    <w:next w:val="1022"/>
    <w:qFormat/>
    <w:pPr>
      <w:ind w:left="0" w:firstLine="5120"/>
      <w:spacing w:before="280" w:after="280" w:line="240" w:lineRule="auto"/>
    </w:pPr>
    <w:rPr>
      <w:rFonts w:ascii="Times New Roman" w:hAnsi="Times New Roman" w:cs="Times New Roman"/>
    </w:rPr>
  </w:style>
  <w:style w:type="paragraph" w:styleId="1063" w:customStyle="1">
    <w:name w:val="WPSOffice手动目录 3"/>
    <w:qFormat/>
    <w:pPr>
      <w:ind w:left="400"/>
    </w:pPr>
  </w:style>
  <w:style w:type="paragraph" w:styleId="1064" w:customStyle="1">
    <w:name w:val="xl77"/>
    <w:basedOn w:val="842"/>
    <w:next w:val="1065"/>
    <w:qFormat/>
    <w:pPr>
      <w:ind w:left="0" w:firstLine="3584"/>
      <w:spacing w:before="280" w:after="280" w:line="240" w:lineRule="auto"/>
    </w:pPr>
    <w:rPr>
      <w:rFonts w:ascii="Times New Roman" w:hAnsi="Times New Roman" w:cs="Times New Roman"/>
    </w:rPr>
  </w:style>
  <w:style w:type="paragraph" w:styleId="1065" w:customStyle="1">
    <w:name w:val="Char Char Char1"/>
    <w:basedOn w:val="842"/>
    <w:next w:val="1066"/>
    <w:qFormat/>
    <w:pPr>
      <w:ind w:left="900" w:firstLine="2096"/>
      <w:spacing w:before="0" w:after="0" w:line="240" w:lineRule="auto"/>
    </w:pPr>
    <w:rPr>
      <w:rFonts w:ascii="Times New Roman" w:hAnsi="Times New Roman" w:cs="Times New Roman"/>
    </w:rPr>
  </w:style>
  <w:style w:type="paragraph" w:styleId="1066" w:customStyle="1">
    <w:name w:val="索引 21"/>
    <w:basedOn w:val="842"/>
    <w:next w:val="841"/>
    <w:qFormat/>
    <w:pPr>
      <w:ind w:left="200" w:firstLine="2560"/>
      <w:jc w:val="center"/>
      <w:spacing w:before="0" w:after="0" w:line="360" w:lineRule="auto"/>
    </w:pPr>
    <w:rPr>
      <w:rFonts w:ascii="Times New Roman" w:hAnsi="Times New Roman" w:cs="Times New Roman"/>
    </w:rPr>
  </w:style>
  <w:style w:type="paragraph" w:styleId="1067" w:customStyle="1">
    <w:name w:val="正文（首行缩进 2 字符）"/>
    <w:next w:val="1068"/>
    <w:qFormat/>
    <w:pPr>
      <w:ind w:left="480" w:firstLine="2784"/>
      <w:jc w:val="center"/>
      <w:spacing w:line="300" w:lineRule="auto"/>
    </w:pPr>
    <w:rPr>
      <w:rFonts w:ascii="Calibri" w:hAnsi="Calibri"/>
    </w:rPr>
  </w:style>
  <w:style w:type="paragraph" w:styleId="1068" w:customStyle="1">
    <w:name w:val="xl28"/>
    <w:basedOn w:val="842"/>
    <w:next w:val="1069"/>
    <w:qFormat/>
    <w:pPr>
      <w:ind w:left="0" w:firstLine="20"/>
      <w:spacing w:before="280" w:after="280" w:line="240" w:lineRule="auto"/>
      <w:shd w:val="clear" w:color="000000" w:fill="ffffff"/>
    </w:pPr>
    <w:rPr>
      <w:rFonts w:ascii="Times New Roman" w:hAnsi="Times New Roman" w:cs="Times New Roman"/>
    </w:rPr>
  </w:style>
  <w:style w:type="paragraph" w:styleId="1069" w:customStyle="1">
    <w:name w:val="HTML 预设格式1"/>
    <w:basedOn w:val="842"/>
    <w:next w:val="1070"/>
    <w:qFormat/>
    <w:pPr>
      <w:ind w:left="0" w:firstLine="3584"/>
      <w:spacing w:before="0" w:after="0" w:line="253" w:lineRule="atLeast"/>
    </w:pPr>
    <w:rPr>
      <w:rFonts w:ascii="Times New Roman" w:hAnsi="Times New Roman" w:cs="Times New Roman"/>
    </w:rPr>
  </w:style>
  <w:style w:type="paragraph" w:styleId="1070" w:customStyle="1">
    <w:name w:val="项目符号：一级"/>
    <w:basedOn w:val="842"/>
    <w:next w:val="841"/>
    <w:qFormat/>
    <w:pPr>
      <w:ind w:left="425" w:firstLine="1111"/>
      <w:spacing w:before="0" w:after="0" w:line="360" w:lineRule="auto"/>
    </w:pPr>
    <w:rPr>
      <w:rFonts w:ascii="Times New Roman" w:hAnsi="Times New Roman" w:cs="Times New Roman"/>
    </w:rPr>
  </w:style>
  <w:style w:type="paragraph" w:styleId="1071" w:customStyle="1">
    <w:name w:val="Default"/>
    <w:next w:val="876"/>
    <w:qFormat/>
    <w:pPr>
      <w:ind w:firstLine="5120"/>
      <w:widowControl w:val="off"/>
    </w:pPr>
    <w:rPr>
      <w:rFonts w:ascii="Calibri" w:hAnsi="Calibri"/>
    </w:rPr>
  </w:style>
  <w:style w:type="paragraph" w:styleId="1072" w:customStyle="1">
    <w:name w:val="xl84"/>
    <w:basedOn w:val="842"/>
    <w:next w:val="1073"/>
    <w:qFormat/>
    <w:pPr>
      <w:ind w:left="0" w:firstLine="2048"/>
      <w:jc w:val="center"/>
      <w:spacing w:before="280" w:after="280" w:line="240" w:lineRule="auto"/>
    </w:pPr>
    <w:rPr>
      <w:rFonts w:ascii="Times New Roman" w:hAnsi="Times New Roman" w:cs="Times New Roman"/>
    </w:rPr>
  </w:style>
  <w:style w:type="paragraph" w:styleId="1073" w:customStyle="1">
    <w:name w:val="2-2ji"/>
    <w:basedOn w:val="844"/>
    <w:next w:val="1074"/>
    <w:qFormat/>
    <w:pPr>
      <w:ind w:left="0" w:firstLine="24"/>
      <w:jc w:val="center"/>
      <w:spacing w:before="0" w:after="0" w:line="360" w:lineRule="auto"/>
      <w:outlineLvl w:val="1"/>
    </w:pPr>
  </w:style>
  <w:style w:type="paragraph" w:styleId="1074" w:customStyle="1">
    <w:name w:val="应答文本"/>
    <w:basedOn w:val="842"/>
    <w:next w:val="1075"/>
    <w:qFormat/>
    <w:pPr>
      <w:ind w:left="1296" w:firstLine="2112"/>
      <w:spacing w:before="0" w:after="0" w:line="460" w:lineRule="exact"/>
    </w:pPr>
    <w:rPr>
      <w:rFonts w:ascii="Times New Roman" w:hAnsi="Times New Roman" w:cs="Times New Roman"/>
    </w:rPr>
  </w:style>
  <w:style w:type="paragraph" w:styleId="1075" w:customStyle="1">
    <w:name w:val="引文目录1"/>
    <w:basedOn w:val="842"/>
    <w:next w:val="841"/>
    <w:qFormat/>
    <w:pPr>
      <w:ind w:left="420" w:firstLine="2560"/>
      <w:jc w:val="center"/>
      <w:spacing w:before="0" w:after="0" w:line="360" w:lineRule="auto"/>
    </w:pPr>
    <w:rPr>
      <w:rFonts w:ascii="Times New Roman" w:hAnsi="Times New Roman" w:cs="Times New Roman"/>
    </w:rPr>
  </w:style>
  <w:style w:type="paragraph" w:styleId="1076" w:customStyle="1">
    <w:name w:val="首行缩进"/>
    <w:basedOn w:val="841"/>
    <w:qFormat/>
    <w:pPr>
      <w:ind w:firstLine="480"/>
    </w:pPr>
    <w:rPr>
      <w:rFonts w:ascii="Times New Roman" w:hAnsi="Times New Roman" w:cs="Times New Roman"/>
      <w:lang w:val="zh-CN"/>
    </w:rPr>
  </w:style>
  <w:style w:type="paragraph" w:styleId="1077" w:customStyle="1">
    <w:name w:val="font9"/>
    <w:basedOn w:val="842"/>
    <w:next w:val="1078"/>
    <w:qFormat/>
    <w:pPr>
      <w:ind w:left="0" w:firstLine="7168"/>
      <w:spacing w:before="280" w:after="280" w:line="240" w:lineRule="auto"/>
    </w:pPr>
    <w:rPr>
      <w:rFonts w:ascii="Times New Roman" w:hAnsi="Times New Roman" w:cs="Times New Roman"/>
    </w:rPr>
  </w:style>
  <w:style w:type="paragraph" w:styleId="1078" w:customStyle="1">
    <w:name w:val="样式 标题 3 + (中文) 黑体 小四 非加粗 段前: 7.8 磅 段后: 0 磅 行距: 固定值 20 磅"/>
    <w:basedOn w:val="845"/>
    <w:next w:val="1079"/>
    <w:qFormat/>
    <w:pPr>
      <w:ind w:left="0"/>
      <w:spacing w:before="0" w:after="0" w:line="400" w:lineRule="exact"/>
      <w:outlineLvl w:val="2"/>
    </w:pPr>
  </w:style>
  <w:style w:type="paragraph" w:styleId="1079" w:customStyle="1">
    <w:name w:val="标书正文"/>
    <w:basedOn w:val="842"/>
    <w:next w:val="1080"/>
    <w:qFormat/>
    <w:pPr>
      <w:ind w:left="440" w:right="100" w:firstLine="2760"/>
      <w:spacing w:before="0" w:after="0" w:line="360" w:lineRule="auto"/>
    </w:pPr>
    <w:rPr>
      <w:rFonts w:ascii="Times New Roman" w:hAnsi="Times New Roman" w:cs="Times New Roman"/>
    </w:rPr>
  </w:style>
  <w:style w:type="paragraph" w:styleId="1080" w:customStyle="1">
    <w:name w:val="xl67"/>
    <w:basedOn w:val="842"/>
    <w:next w:val="1081"/>
    <w:qFormat/>
    <w:pPr>
      <w:ind w:left="0" w:firstLine="5120"/>
      <w:spacing w:before="280" w:after="280" w:line="240" w:lineRule="auto"/>
    </w:pPr>
    <w:rPr>
      <w:rFonts w:ascii="Times New Roman" w:hAnsi="Times New Roman" w:cs="Times New Roman"/>
    </w:rPr>
  </w:style>
  <w:style w:type="paragraph" w:styleId="1081" w:customStyle="1">
    <w:name w:val="索引 61"/>
    <w:basedOn w:val="842"/>
    <w:next w:val="841"/>
    <w:qFormat/>
    <w:pPr>
      <w:ind w:left="1000" w:firstLine="2560"/>
      <w:jc w:val="center"/>
      <w:spacing w:before="0" w:after="0" w:line="360" w:lineRule="auto"/>
    </w:pPr>
    <w:rPr>
      <w:rFonts w:ascii="Times New Roman" w:hAnsi="Times New Roman" w:cs="Times New Roman"/>
    </w:rPr>
  </w:style>
  <w:style w:type="paragraph" w:styleId="1082" w:customStyle="1">
    <w:name w:val="目录3"/>
    <w:basedOn w:val="842"/>
    <w:next w:val="841"/>
    <w:qFormat/>
    <w:pPr>
      <w:ind w:left="419" w:firstLine="5283"/>
      <w:spacing w:before="0" w:after="0" w:line="317" w:lineRule="atLeast"/>
    </w:pPr>
    <w:rPr>
      <w:rFonts w:ascii="Times New Roman" w:hAnsi="Times New Roman" w:cs="Times New Roman"/>
    </w:rPr>
  </w:style>
  <w:style w:type="paragraph" w:styleId="1083" w:customStyle="1">
    <w:name w:val="xl90"/>
    <w:basedOn w:val="842"/>
    <w:next w:val="1084"/>
    <w:qFormat/>
    <w:pPr>
      <w:ind w:left="0" w:firstLine="3584"/>
      <w:spacing w:before="280" w:after="280" w:line="240" w:lineRule="auto"/>
    </w:pPr>
    <w:rPr>
      <w:rFonts w:ascii="Times New Roman" w:hAnsi="Times New Roman" w:cs="Times New Roman"/>
    </w:rPr>
  </w:style>
  <w:style w:type="paragraph" w:styleId="1084" w:customStyle="1">
    <w:name w:val="列表框1"/>
    <w:next w:val="1075"/>
    <w:qFormat/>
    <w:pPr>
      <w:ind w:firstLine="2048"/>
      <w:spacing w:line="460" w:lineRule="exact"/>
    </w:pPr>
    <w:rPr>
      <w:rFonts w:ascii="Calibri" w:hAnsi="Calibri"/>
    </w:rPr>
  </w:style>
  <w:style w:type="paragraph" w:styleId="1085" w:customStyle="1">
    <w:name w:val="1ji"/>
    <w:basedOn w:val="843"/>
    <w:next w:val="1064"/>
    <w:qFormat/>
    <w:pPr>
      <w:ind w:left="0" w:firstLine="18"/>
      <w:jc w:val="center"/>
      <w:spacing w:before="0" w:after="0" w:line="240" w:lineRule="auto"/>
      <w:outlineLvl w:val="0"/>
    </w:pPr>
  </w:style>
  <w:style w:type="paragraph" w:styleId="1086" w:customStyle="1">
    <w:name w:val="索引 81"/>
    <w:basedOn w:val="842"/>
    <w:next w:val="841"/>
    <w:qFormat/>
    <w:pPr>
      <w:ind w:left="1400" w:firstLine="2560"/>
      <w:jc w:val="center"/>
      <w:spacing w:before="0" w:after="0" w:line="360" w:lineRule="auto"/>
    </w:pPr>
    <w:rPr>
      <w:rFonts w:ascii="Times New Roman" w:hAnsi="Times New Roman" w:cs="Times New Roman"/>
    </w:rPr>
  </w:style>
  <w:style w:type="paragraph" w:styleId="1087" w:customStyle="1">
    <w:name w:val="正文1"/>
    <w:basedOn w:val="841"/>
    <w:next w:val="841"/>
    <w:qFormat/>
    <w:pPr>
      <w:spacing w:line="312" w:lineRule="atLeast"/>
    </w:pPr>
    <w:rPr>
      <w:rFonts w:ascii="楷体_GB2312" w:hAnsi="Times New Roman" w:eastAsia="楷体_GB2312" w:cs="Times New Roman"/>
      <w:sz w:val="24"/>
    </w:rPr>
  </w:style>
  <w:style w:type="paragraph" w:styleId="1088" w:customStyle="1">
    <w:name w:val="Char Char Char Char Char Char1 Char Char Char1 Char Char Char Char Char Char Char Char Char Char Char Char Char Char Char Char Char Char"/>
    <w:basedOn w:val="842"/>
    <w:next w:val="1089"/>
    <w:qFormat/>
    <w:pPr>
      <w:ind w:left="0" w:firstLine="2560"/>
      <w:spacing w:before="0" w:after="0" w:line="240" w:lineRule="auto"/>
    </w:pPr>
    <w:rPr>
      <w:rFonts w:ascii="Times New Roman" w:hAnsi="Times New Roman" w:cs="Times New Roman"/>
    </w:rPr>
  </w:style>
  <w:style w:type="paragraph" w:styleId="1089" w:customStyle="1">
    <w:name w:val="样式 加粗 居中11"/>
    <w:basedOn w:val="842"/>
    <w:next w:val="1090"/>
    <w:qFormat/>
    <w:pPr>
      <w:ind w:left="0" w:firstLine="2560"/>
      <w:jc w:val="center"/>
      <w:spacing w:before="0" w:after="0" w:line="360" w:lineRule="auto"/>
    </w:pPr>
    <w:rPr>
      <w:rFonts w:ascii="Times New Roman" w:hAnsi="Times New Roman" w:cs="Times New Roman"/>
    </w:rPr>
  </w:style>
  <w:style w:type="paragraph" w:styleId="1090" w:customStyle="1">
    <w:name w:val="xl89"/>
    <w:basedOn w:val="842"/>
    <w:next w:val="1091"/>
    <w:qFormat/>
    <w:pPr>
      <w:ind w:left="0" w:firstLine="3584"/>
      <w:spacing w:before="280" w:after="280" w:line="240" w:lineRule="auto"/>
    </w:pPr>
    <w:rPr>
      <w:rFonts w:ascii="Times New Roman" w:hAnsi="Times New Roman" w:cs="Times New Roman"/>
    </w:rPr>
  </w:style>
  <w:style w:type="paragraph" w:styleId="1091" w:customStyle="1">
    <w:name w:val="Char Char Char Char Char Char1 Char Char Char Char Char Char1 Char Char Char Char Char Char Char Char Char"/>
    <w:basedOn w:val="842"/>
    <w:next w:val="1092"/>
    <w:qFormat/>
    <w:pPr>
      <w:ind w:left="0" w:firstLine="2560"/>
      <w:spacing w:before="0" w:after="0" w:line="240" w:lineRule="auto"/>
    </w:pPr>
    <w:rPr>
      <w:rFonts w:ascii="Times New Roman" w:hAnsi="Times New Roman" w:cs="Times New Roman"/>
    </w:rPr>
  </w:style>
  <w:style w:type="paragraph" w:styleId="1092" w:customStyle="1">
    <w:name w:val="文章附标题"/>
    <w:basedOn w:val="842"/>
    <w:next w:val="842"/>
    <w:qFormat/>
    <w:pPr>
      <w:ind w:left="0" w:firstLine="5120"/>
      <w:jc w:val="center"/>
      <w:spacing w:before="187" w:after="175" w:line="374" w:lineRule="atLeast"/>
    </w:pPr>
    <w:rPr>
      <w:rFonts w:ascii="Times New Roman" w:hAnsi="Times New Roman" w:cs="Times New Roman"/>
    </w:rPr>
  </w:style>
  <w:style w:type="paragraph" w:styleId="1093">
    <w:name w:val="Quote"/>
    <w:next w:val="841"/>
    <w:qFormat/>
    <w:pPr>
      <w:ind w:left="3680" w:right="864"/>
      <w:jc w:val="center"/>
      <w:spacing w:before="200" w:after="160"/>
    </w:pPr>
    <w:rPr>
      <w:rFonts w:ascii="Calibri" w:hAnsi="Calibri"/>
      <w:i/>
    </w:rPr>
  </w:style>
  <w:style w:type="paragraph" w:styleId="1094" w:customStyle="1">
    <w:name w:val="Default Paragraph Font Para Char Char Char Char Char Char"/>
    <w:basedOn w:val="842"/>
    <w:next w:val="1095"/>
    <w:qFormat/>
    <w:pPr>
      <w:ind w:left="0" w:firstLine="3584"/>
      <w:spacing w:before="0" w:after="160" w:line="240" w:lineRule="exact"/>
    </w:pPr>
    <w:rPr>
      <w:rFonts w:ascii="Times New Roman" w:hAnsi="Times New Roman" w:cs="Times New Roman"/>
    </w:rPr>
  </w:style>
  <w:style w:type="paragraph" w:styleId="1095" w:customStyle="1">
    <w:name w:val="xl23"/>
    <w:basedOn w:val="842"/>
    <w:next w:val="878"/>
    <w:qFormat/>
    <w:pPr>
      <w:ind w:left="0" w:firstLine="20"/>
      <w:spacing w:before="280" w:after="280" w:line="240" w:lineRule="auto"/>
      <w:shd w:val="clear" w:color="000000" w:fill="ffffff"/>
    </w:pPr>
    <w:rPr>
      <w:rFonts w:ascii="Times New Roman" w:hAnsi="Times New Roman" w:cs="Times New Roman"/>
    </w:rPr>
  </w:style>
  <w:style w:type="paragraph" w:styleId="1096" w:customStyle="1">
    <w:name w:val="列出段落11"/>
    <w:basedOn w:val="842"/>
    <w:next w:val="1097"/>
    <w:qFormat/>
    <w:pPr>
      <w:ind w:left="420" w:firstLine="3748"/>
      <w:spacing w:before="0" w:after="0" w:line="240" w:lineRule="auto"/>
    </w:pPr>
    <w:rPr>
      <w:rFonts w:ascii="Times New Roman" w:hAnsi="Times New Roman" w:cs="Times New Roman"/>
    </w:rPr>
  </w:style>
  <w:style w:type="paragraph" w:styleId="1097" w:customStyle="1">
    <w:name w:val="样式 标题 2 + (西文) 宋体 非加粗 居中"/>
    <w:basedOn w:val="844"/>
    <w:next w:val="1098"/>
    <w:qFormat/>
    <w:pPr>
      <w:ind w:left="0" w:firstLine="24"/>
      <w:jc w:val="center"/>
      <w:spacing w:line="412" w:lineRule="auto"/>
      <w:outlineLvl w:val="1"/>
    </w:pPr>
  </w:style>
  <w:style w:type="paragraph" w:styleId="1098" w:customStyle="1">
    <w:name w:val="页脚 Char Char"/>
    <w:basedOn w:val="842"/>
    <w:next w:val="1099"/>
    <w:qFormat/>
    <w:pPr>
      <w:ind w:left="0" w:firstLine="5120"/>
      <w:spacing w:before="0" w:after="0" w:line="240" w:lineRule="auto"/>
    </w:pPr>
    <w:rPr>
      <w:rFonts w:ascii="Times New Roman" w:hAnsi="Times New Roman" w:cs="Times New Roman"/>
    </w:rPr>
  </w:style>
  <w:style w:type="paragraph" w:styleId="1099" w:customStyle="1">
    <w:name w:val="样式 标题 1 + 段前: 16 磅 段后: 16 磅"/>
    <w:basedOn w:val="843"/>
    <w:next w:val="1100"/>
    <w:qFormat/>
    <w:pPr>
      <w:ind w:left="0" w:firstLine="18"/>
      <w:jc w:val="center"/>
      <w:spacing w:before="120" w:after="0" w:line="360" w:lineRule="auto"/>
      <w:outlineLvl w:val="0"/>
    </w:pPr>
  </w:style>
  <w:style w:type="paragraph" w:styleId="1100" w:customStyle="1">
    <w:name w:val="Char1 Char Char Char Char Char Char"/>
    <w:basedOn w:val="842"/>
    <w:next w:val="1101"/>
    <w:qFormat/>
    <w:pPr>
      <w:ind w:left="0" w:firstLine="2560"/>
      <w:spacing w:before="0" w:after="0" w:line="240" w:lineRule="auto"/>
    </w:pPr>
    <w:rPr>
      <w:rFonts w:ascii="Times New Roman" w:hAnsi="Times New Roman" w:cs="Times New Roman"/>
    </w:rPr>
  </w:style>
  <w:style w:type="paragraph" w:styleId="1101" w:customStyle="1">
    <w:name w:val="文档标题4"/>
    <w:basedOn w:val="846"/>
    <w:next w:val="841"/>
    <w:qFormat/>
    <w:pPr>
      <w:ind w:left="851" w:firstLine="30"/>
      <w:spacing w:after="280" w:line="360" w:lineRule="auto"/>
      <w:outlineLvl w:val="3"/>
    </w:pPr>
  </w:style>
  <w:style w:type="paragraph" w:styleId="1102" w:customStyle="1">
    <w:name w:val="font0"/>
    <w:basedOn w:val="842"/>
    <w:next w:val="1077"/>
    <w:qFormat/>
    <w:pPr>
      <w:ind w:left="0" w:firstLine="1024"/>
      <w:spacing w:before="280" w:after="280" w:line="240" w:lineRule="auto"/>
    </w:pPr>
    <w:rPr>
      <w:rFonts w:ascii="Times New Roman" w:hAnsi="Times New Roman" w:cs="Times New Roman"/>
    </w:rPr>
  </w:style>
  <w:style w:type="paragraph" w:styleId="1103" w:customStyle="1">
    <w:name w:val="CM5"/>
    <w:basedOn w:val="842"/>
    <w:next w:val="841"/>
    <w:qFormat/>
    <w:pPr>
      <w:ind w:left="200" w:firstLine="2760"/>
      <w:spacing w:before="0" w:after="0" w:line="400" w:lineRule="atLeast"/>
    </w:pPr>
    <w:rPr>
      <w:rFonts w:ascii="Times New Roman" w:hAnsi="Times New Roman" w:cs="Times New Roman"/>
    </w:rPr>
  </w:style>
  <w:style w:type="paragraph" w:styleId="1104" w:customStyle="1">
    <w:name w:val="Pa0"/>
    <w:basedOn w:val="842"/>
    <w:next w:val="841"/>
    <w:qFormat/>
    <w:pPr>
      <w:ind w:left="0" w:firstLine="4608"/>
      <w:spacing w:before="0" w:after="0" w:line="241" w:lineRule="atLeast"/>
    </w:pPr>
    <w:rPr>
      <w:rFonts w:ascii="Times New Roman" w:hAnsi="Times New Roman" w:cs="Times New Roman"/>
    </w:rPr>
  </w:style>
  <w:style w:type="paragraph" w:styleId="1105" w:customStyle="1">
    <w:name w:val="招标文件》"/>
    <w:basedOn w:val="842"/>
    <w:next w:val="1041"/>
    <w:qFormat/>
    <w:pPr>
      <w:ind w:left="420" w:firstLine="2140"/>
      <w:spacing w:before="120" w:after="120" w:line="300" w:lineRule="auto"/>
    </w:pPr>
    <w:rPr>
      <w:rFonts w:ascii="Times New Roman" w:hAnsi="Times New Roman" w:cs="Times New Roman"/>
    </w:rPr>
  </w:style>
  <w:style w:type="paragraph" w:styleId="1106" w:customStyle="1">
    <w:name w:val="段"/>
    <w:next w:val="841"/>
    <w:qFormat/>
    <w:pPr>
      <w:ind w:firstLine="200"/>
      <w:jc w:val="both"/>
      <w:spacing w:line="360" w:lineRule="auto"/>
    </w:pPr>
    <w:rPr>
      <w:sz w:val="24"/>
      <w:szCs w:val="22"/>
    </w:rPr>
  </w:style>
  <w:style w:type="paragraph" w:styleId="1107" w:customStyle="1">
    <w:name w:val="标书_正文"/>
    <w:basedOn w:val="842"/>
    <w:next w:val="1108"/>
    <w:qFormat/>
    <w:pPr>
      <w:ind w:left="420" w:firstLine="1188"/>
      <w:spacing w:before="0" w:after="0" w:line="360" w:lineRule="auto"/>
    </w:pPr>
    <w:rPr>
      <w:rFonts w:ascii="Times New Roman" w:hAnsi="Times New Roman" w:cs="Times New Roman"/>
    </w:rPr>
  </w:style>
  <w:style w:type="paragraph" w:styleId="1108" w:customStyle="1">
    <w:name w:val="样式 标题 2 + Times New Roman 四号 非加粗 段前: 5 磅 段后: 0 磅 行距: 固定值 20..."/>
    <w:basedOn w:val="844"/>
    <w:next w:val="1056"/>
    <w:qFormat/>
    <w:pPr>
      <w:ind w:left="0" w:firstLine="24"/>
      <w:spacing w:before="100" w:after="0" w:line="400" w:lineRule="exact"/>
      <w:outlineLvl w:val="1"/>
    </w:pPr>
  </w:style>
  <w:style w:type="paragraph" w:styleId="1109" w:customStyle="1">
    <w:name w:val="图片0"/>
    <w:basedOn w:val="842"/>
    <w:next w:val="889"/>
    <w:qFormat/>
    <w:pPr>
      <w:ind w:left="-161" w:firstLine="1187"/>
      <w:spacing w:before="0" w:after="0" w:line="276" w:lineRule="auto"/>
    </w:pPr>
    <w:rPr>
      <w:rFonts w:ascii="Times New Roman" w:hAnsi="Times New Roman" w:cs="Times New Roman"/>
    </w:rPr>
  </w:style>
  <w:style w:type="paragraph" w:styleId="1110" w:customStyle="1">
    <w:name w:val="Char Char Char2 Char Char Char2 Char"/>
    <w:basedOn w:val="842"/>
    <w:next w:val="1082"/>
    <w:qFormat/>
    <w:pPr>
      <w:ind w:left="560" w:firstLine="3632"/>
      <w:spacing w:before="0" w:after="160" w:line="240" w:lineRule="exact"/>
    </w:pPr>
    <w:rPr>
      <w:rFonts w:ascii="Times New Roman" w:hAnsi="Times New Roman" w:cs="Times New Roman"/>
    </w:rPr>
  </w:style>
  <w:style w:type="paragraph" w:styleId="1111" w:customStyle="1">
    <w:name w:val="Char Char Char Char"/>
    <w:next w:val="1112"/>
    <w:qFormat/>
    <w:pPr>
      <w:ind w:firstLine="10"/>
      <w:spacing w:line="360" w:lineRule="auto"/>
      <w:shd w:val="clear" w:color="000000" w:fill="000080"/>
    </w:pPr>
    <w:rPr>
      <w:rFonts w:ascii="Calibri" w:hAnsi="Calibri"/>
    </w:rPr>
  </w:style>
  <w:style w:type="paragraph" w:styleId="1112" w:customStyle="1">
    <w:name w:val="杨昂超式样黑体主"/>
    <w:basedOn w:val="842"/>
    <w:next w:val="1113"/>
    <w:qFormat/>
    <w:pPr>
      <w:ind w:left="0" w:firstLine="4608"/>
      <w:spacing w:before="0" w:after="0" w:line="240" w:lineRule="auto"/>
    </w:pPr>
    <w:rPr>
      <w:rFonts w:ascii="Times New Roman" w:hAnsi="Times New Roman" w:cs="Times New Roman"/>
    </w:rPr>
  </w:style>
  <w:style w:type="paragraph" w:styleId="1113" w:customStyle="1">
    <w:name w:val="Char Char Char Char Char Char1 Char Char Char Char Char Char Char Char Char Char"/>
    <w:basedOn w:val="842"/>
    <w:next w:val="1114"/>
    <w:qFormat/>
    <w:pPr>
      <w:ind w:left="0" w:firstLine="2560"/>
      <w:spacing w:before="0" w:after="0" w:line="240" w:lineRule="auto"/>
    </w:pPr>
    <w:rPr>
      <w:rFonts w:ascii="Times New Roman" w:hAnsi="Times New Roman" w:cs="Times New Roman"/>
    </w:rPr>
  </w:style>
  <w:style w:type="paragraph" w:styleId="1114" w:customStyle="1">
    <w:name w:val="目录1"/>
    <w:basedOn w:val="842"/>
    <w:next w:val="841"/>
    <w:qFormat/>
    <w:pPr>
      <w:ind w:left="0" w:firstLine="7168"/>
      <w:spacing w:before="0" w:after="136" w:line="289" w:lineRule="atLeast"/>
    </w:pPr>
    <w:rPr>
      <w:rFonts w:ascii="Times New Roman" w:hAnsi="Times New Roman" w:cs="Times New Roman"/>
    </w:rPr>
  </w:style>
  <w:style w:type="paragraph" w:styleId="1115" w:customStyle="1">
    <w:name w:val="文档结构图1"/>
    <w:basedOn w:val="842"/>
    <w:next w:val="1116"/>
    <w:qFormat/>
    <w:pPr>
      <w:ind w:left="200" w:firstLine="2248"/>
      <w:spacing w:before="0" w:after="0" w:line="360" w:lineRule="auto"/>
    </w:pPr>
    <w:rPr>
      <w:rFonts w:ascii="Times New Roman" w:hAnsi="Times New Roman" w:cs="Times New Roman"/>
    </w:rPr>
  </w:style>
  <w:style w:type="paragraph" w:styleId="1116" w:customStyle="1">
    <w:name w:val="2ji"/>
    <w:basedOn w:val="844"/>
    <w:next w:val="884"/>
    <w:qFormat/>
    <w:pPr>
      <w:ind w:left="0" w:firstLine="24"/>
      <w:spacing w:before="0" w:after="0" w:line="360" w:lineRule="auto"/>
      <w:outlineLvl w:val="1"/>
    </w:pPr>
  </w:style>
  <w:style w:type="paragraph" w:styleId="1117" w:customStyle="1">
    <w:name w:val="xl91"/>
    <w:basedOn w:val="842"/>
    <w:next w:val="1038"/>
    <w:qFormat/>
    <w:pPr>
      <w:ind w:left="0" w:firstLine="3584"/>
      <w:spacing w:before="280" w:after="280" w:line="240" w:lineRule="auto"/>
    </w:pPr>
    <w:rPr>
      <w:rFonts w:ascii="Times New Roman" w:hAnsi="Times New Roman" w:cs="Times New Roman"/>
    </w:rPr>
  </w:style>
  <w:style w:type="paragraph" w:styleId="1118" w:customStyle="1">
    <w:name w:val="Text Body"/>
    <w:basedOn w:val="842"/>
    <w:next w:val="1119"/>
    <w:pPr>
      <w:ind w:left="0" w:firstLine="4096"/>
      <w:spacing w:before="0" w:after="120" w:line="240" w:lineRule="auto"/>
    </w:pPr>
    <w:rPr>
      <w:rFonts w:ascii="Times New Roman" w:hAnsi="Times New Roman" w:cs="Times New Roman"/>
    </w:rPr>
  </w:style>
  <w:style w:type="paragraph" w:styleId="1119" w:customStyle="1">
    <w:name w:val="项目符1"/>
    <w:basedOn w:val="842"/>
    <w:next w:val="1120"/>
    <w:qFormat/>
    <w:pPr>
      <w:ind w:left="1365" w:right="100" w:firstLine="2728"/>
      <w:spacing w:before="78" w:after="78" w:line="300" w:lineRule="auto"/>
    </w:pPr>
    <w:rPr>
      <w:rFonts w:ascii="Times New Roman" w:hAnsi="Times New Roman" w:cs="Times New Roman"/>
    </w:rPr>
  </w:style>
  <w:style w:type="paragraph" w:styleId="1120" w:customStyle="1">
    <w:name w:val="引文目录标题1"/>
    <w:basedOn w:val="842"/>
    <w:next w:val="841"/>
    <w:qFormat/>
    <w:pPr>
      <w:ind w:left="0" w:firstLine="4608"/>
      <w:jc w:val="center"/>
      <w:spacing w:before="120" w:after="0" w:line="360" w:lineRule="auto"/>
    </w:pPr>
    <w:rPr>
      <w:rFonts w:ascii="Times New Roman" w:hAnsi="Times New Roman" w:cs="Times New Roman"/>
    </w:rPr>
  </w:style>
  <w:style w:type="paragraph" w:styleId="1121" w:customStyle="1">
    <w:name w:val="样式 标题 3 + (西文) 黑体 (中文) 黑体 (符号) 宋体 小四 段前: 5 磅 段后: 5 磅 行距: 1..."/>
    <w:basedOn w:val="845"/>
    <w:next w:val="1122"/>
    <w:qFormat/>
    <w:pPr>
      <w:ind w:left="1429" w:firstLine="18"/>
      <w:spacing w:before="100" w:after="100" w:line="360" w:lineRule="auto"/>
      <w:outlineLvl w:val="2"/>
    </w:pPr>
  </w:style>
  <w:style w:type="paragraph" w:styleId="1122" w:customStyle="1">
    <w:name w:val="xl22"/>
    <w:basedOn w:val="842"/>
    <w:next w:val="1123"/>
    <w:qFormat/>
    <w:pPr>
      <w:ind w:left="0" w:firstLine="20"/>
      <w:jc w:val="right"/>
      <w:spacing w:before="280" w:after="280" w:line="240" w:lineRule="auto"/>
      <w:shd w:val="clear" w:color="000000" w:fill="ffffff"/>
    </w:pPr>
    <w:rPr>
      <w:rFonts w:ascii="Times New Roman" w:hAnsi="Times New Roman" w:cs="Times New Roman"/>
    </w:rPr>
  </w:style>
  <w:style w:type="paragraph" w:styleId="1123" w:customStyle="1">
    <w:name w:val="自定义一"/>
    <w:basedOn w:val="842"/>
    <w:next w:val="841"/>
    <w:qFormat/>
    <w:pPr>
      <w:ind w:left="0"/>
      <w:spacing w:before="0" w:after="0" w:line="360" w:lineRule="auto"/>
    </w:pPr>
    <w:rPr>
      <w:rFonts w:ascii="Times New Roman" w:hAnsi="Times New Roman" w:cs="Times New Roman"/>
    </w:rPr>
  </w:style>
  <w:style w:type="paragraph" w:styleId="1124" w:customStyle="1">
    <w:name w:val="xl78"/>
    <w:basedOn w:val="842"/>
    <w:next w:val="1125"/>
    <w:qFormat/>
    <w:pPr>
      <w:ind w:left="0" w:firstLine="3584"/>
      <w:jc w:val="center"/>
      <w:spacing w:before="280" w:after="280" w:line="240" w:lineRule="auto"/>
    </w:pPr>
    <w:rPr>
      <w:rFonts w:ascii="Times New Roman" w:hAnsi="Times New Roman" w:cs="Times New Roman"/>
    </w:rPr>
  </w:style>
  <w:style w:type="paragraph" w:styleId="1125" w:customStyle="1">
    <w:name w:val="段落正文"/>
    <w:next w:val="1067"/>
    <w:qFormat/>
    <w:pPr>
      <w:ind w:firstLine="4608"/>
      <w:jc w:val="center"/>
      <w:spacing w:line="360" w:lineRule="auto"/>
    </w:pPr>
    <w:rPr>
      <w:rFonts w:ascii="Calibri" w:hAnsi="Calibri"/>
    </w:rPr>
  </w:style>
  <w:style w:type="paragraph" w:styleId="1126" w:customStyle="1">
    <w:name w:val="_Style 169"/>
    <w:next w:val="841"/>
    <w:qFormat/>
    <w:pPr>
      <w:ind w:left="2560"/>
    </w:pPr>
    <w:rPr>
      <w:rFonts w:ascii="Calibri" w:hAnsi="Calibri"/>
    </w:rPr>
  </w:style>
  <w:style w:type="paragraph" w:styleId="1127" w:customStyle="1">
    <w:name w:val="样式 小四 行距: 1.5 倍行距 首行缩进:  2 字符"/>
    <w:basedOn w:val="842"/>
    <w:next w:val="1072"/>
    <w:qFormat/>
    <w:pPr>
      <w:ind w:left="480" w:firstLine="2784"/>
      <w:spacing w:before="0" w:after="0" w:line="360" w:lineRule="auto"/>
    </w:pPr>
    <w:rPr>
      <w:rFonts w:ascii="Times New Roman" w:hAnsi="Times New Roman" w:cs="Times New Roman"/>
    </w:rPr>
  </w:style>
  <w:style w:type="paragraph" w:styleId="1128" w:customStyle="1">
    <w:name w:val="小节标题"/>
    <w:basedOn w:val="842"/>
    <w:next w:val="841"/>
    <w:qFormat/>
    <w:pPr>
      <w:ind w:left="0" w:firstLine="7168"/>
      <w:spacing w:before="175" w:after="102" w:line="351" w:lineRule="atLeast"/>
    </w:pPr>
    <w:rPr>
      <w:rFonts w:ascii="Times New Roman" w:hAnsi="Times New Roman" w:cs="Times New Roman"/>
    </w:rPr>
  </w:style>
  <w:style w:type="paragraph" w:styleId="1129" w:customStyle="1">
    <w:name w:val="TOC 标题2"/>
    <w:basedOn w:val="842"/>
    <w:next w:val="841"/>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0" w:customStyle="1">
    <w:name w:val="表格文字（两侧对齐）"/>
    <w:basedOn w:val="842"/>
    <w:next w:val="1131"/>
    <w:qFormat/>
    <w:pPr>
      <w:ind w:left="0" w:firstLine="3584"/>
      <w:spacing w:before="0" w:after="0" w:line="240" w:lineRule="auto"/>
    </w:pPr>
    <w:rPr>
      <w:rFonts w:ascii="Times New Roman" w:hAnsi="Times New Roman" w:cs="Times New Roman"/>
    </w:rPr>
  </w:style>
  <w:style w:type="paragraph" w:styleId="1131" w:customStyle="1">
    <w:name w:val="Char"/>
    <w:basedOn w:val="842"/>
    <w:next w:val="1110"/>
    <w:pPr>
      <w:ind w:left="900" w:firstLine="2608"/>
      <w:spacing w:before="0" w:after="0" w:line="240" w:lineRule="auto"/>
    </w:pPr>
    <w:rPr>
      <w:rFonts w:ascii="Times New Roman" w:hAnsi="Times New Roman" w:cs="Times New Roman"/>
    </w:rPr>
  </w:style>
  <w:style w:type="paragraph" w:styleId="1132" w:customStyle="1">
    <w:name w:val="xl86"/>
    <w:basedOn w:val="842"/>
    <w:next w:val="1133"/>
    <w:pPr>
      <w:ind w:left="0" w:firstLine="5120"/>
      <w:spacing w:before="280" w:after="280" w:line="240" w:lineRule="auto"/>
    </w:pPr>
    <w:rPr>
      <w:rFonts w:ascii="Times New Roman" w:hAnsi="Times New Roman" w:cs="Times New Roman"/>
    </w:rPr>
  </w:style>
  <w:style w:type="paragraph" w:styleId="1133" w:customStyle="1">
    <w:name w:val="索引 71"/>
    <w:basedOn w:val="842"/>
    <w:next w:val="841"/>
    <w:qFormat/>
    <w:pPr>
      <w:ind w:left="1200" w:firstLine="2560"/>
      <w:jc w:val="center"/>
      <w:spacing w:before="0" w:after="0" w:line="360" w:lineRule="auto"/>
    </w:pPr>
    <w:rPr>
      <w:rFonts w:ascii="Times New Roman" w:hAnsi="Times New Roman" w:cs="Times New Roman"/>
    </w:rPr>
  </w:style>
  <w:style w:type="paragraph" w:styleId="1134" w:customStyle="1">
    <w:name w:val="111"/>
    <w:next w:val="1135"/>
    <w:pPr>
      <w:ind w:left="480" w:firstLine="4320"/>
      <w:spacing w:line="440" w:lineRule="exact"/>
    </w:pPr>
    <w:rPr>
      <w:rFonts w:ascii="Calibri" w:hAnsi="Calibri"/>
    </w:rPr>
  </w:style>
  <w:style w:type="paragraph" w:styleId="1135" w:customStyle="1">
    <w:name w:val="4"/>
    <w:basedOn w:val="842"/>
    <w:next w:val="854"/>
    <w:qFormat/>
    <w:pPr>
      <w:ind w:left="409" w:firstLine="3737"/>
      <w:spacing w:before="0" w:after="0" w:line="420" w:lineRule="exact"/>
    </w:pPr>
    <w:rPr>
      <w:rFonts w:ascii="Times New Roman" w:hAnsi="Times New Roman" w:cs="Times New Roman"/>
    </w:rPr>
  </w:style>
  <w:style w:type="paragraph" w:styleId="1136" w:customStyle="1">
    <w:name w:val="Char Char Char Char Char Char1 Char Char Char1 Char Char Char Char Char Char"/>
    <w:basedOn w:val="842"/>
    <w:next w:val="1121"/>
    <w:pPr>
      <w:ind w:left="0" w:firstLine="2560"/>
      <w:spacing w:before="0" w:after="0" w:line="240" w:lineRule="auto"/>
    </w:pPr>
    <w:rPr>
      <w:rFonts w:ascii="Times New Roman" w:hAnsi="Times New Roman" w:cs="Times New Roman"/>
    </w:rPr>
  </w:style>
  <w:style w:type="paragraph" w:styleId="1137" w:customStyle="1">
    <w:name w:val="Char Char Char Char Char Char1 Char Char Char Char Char Char1 Char Char Char"/>
    <w:basedOn w:val="842"/>
    <w:next w:val="1138"/>
    <w:qFormat/>
    <w:pPr>
      <w:ind w:left="0" w:firstLine="2560"/>
      <w:spacing w:before="0" w:after="0" w:line="240" w:lineRule="auto"/>
    </w:pPr>
    <w:rPr>
      <w:rFonts w:ascii="Times New Roman" w:hAnsi="Times New Roman" w:cs="Times New Roman"/>
    </w:rPr>
  </w:style>
  <w:style w:type="paragraph" w:styleId="1138" w:customStyle="1">
    <w:name w:val="正文符号1"/>
    <w:basedOn w:val="842"/>
    <w:next w:val="1139"/>
    <w:qFormat/>
    <w:pPr>
      <w:ind w:left="987" w:firstLine="5724"/>
      <w:spacing w:before="0" w:after="0" w:line="240" w:lineRule="auto"/>
    </w:pPr>
    <w:rPr>
      <w:rFonts w:ascii="Times New Roman" w:hAnsi="Times New Roman" w:cs="Times New Roman"/>
    </w:rPr>
  </w:style>
  <w:style w:type="paragraph" w:styleId="1139" w:customStyle="1">
    <w:name w:val="索引 31"/>
    <w:basedOn w:val="842"/>
    <w:next w:val="841"/>
    <w:pPr>
      <w:ind w:left="400" w:firstLine="2560"/>
      <w:jc w:val="center"/>
      <w:spacing w:before="0" w:after="0" w:line="360" w:lineRule="auto"/>
    </w:pPr>
    <w:rPr>
      <w:rFonts w:ascii="Times New Roman" w:hAnsi="Times New Roman" w:cs="Times New Roman"/>
    </w:rPr>
  </w:style>
  <w:style w:type="paragraph" w:styleId="1140" w:customStyle="1">
    <w:name w:val="目录4"/>
    <w:basedOn w:val="842"/>
    <w:next w:val="841"/>
    <w:qFormat/>
    <w:pPr>
      <w:ind w:left="629" w:firstLine="5237"/>
      <w:spacing w:before="0" w:after="0" w:line="317" w:lineRule="atLeast"/>
    </w:pPr>
    <w:rPr>
      <w:rFonts w:ascii="Times New Roman" w:hAnsi="Times New Roman" w:cs="Times New Roman"/>
    </w:rPr>
  </w:style>
  <w:style w:type="paragraph" w:styleId="1141" w:customStyle="1">
    <w:name w:val="p15"/>
    <w:basedOn w:val="841"/>
    <w:qFormat/>
    <w:pPr>
      <w:ind w:left="0"/>
    </w:pPr>
    <w:rPr>
      <w:rFonts w:ascii="宋体" w:hAnsi="宋体"/>
      <w:sz w:val="28"/>
      <w:szCs w:val="28"/>
    </w:rPr>
  </w:style>
  <w:style w:type="paragraph" w:styleId="1142" w:customStyle="1">
    <w:name w:val="四号 居中"/>
    <w:basedOn w:val="842"/>
    <w:next w:val="1136"/>
    <w:pPr>
      <w:ind w:left="0" w:firstLine="6144"/>
      <w:jc w:val="center"/>
      <w:spacing w:before="0" w:after="0" w:line="360" w:lineRule="auto"/>
    </w:pPr>
    <w:rPr>
      <w:rFonts w:ascii="Times New Roman" w:hAnsi="Times New Roman" w:cs="Times New Roman"/>
    </w:rPr>
  </w:style>
  <w:style w:type="paragraph" w:styleId="1143" w:customStyle="1">
    <w:name w:val="p0"/>
    <w:next w:val="841"/>
    <w:pPr>
      <w:ind w:firstLine="2048"/>
      <w:spacing w:line="360" w:lineRule="auto"/>
    </w:pPr>
    <w:rPr>
      <w:rFonts w:ascii="Calibri" w:hAnsi="Calibri"/>
    </w:rPr>
  </w:style>
  <w:style w:type="paragraph" w:styleId="1144" w:customStyle="1">
    <w:name w:val="列表编号 21"/>
    <w:basedOn w:val="842"/>
    <w:next w:val="1145"/>
    <w:qFormat/>
    <w:pPr>
      <w:ind w:left="0" w:firstLine="2560"/>
      <w:spacing w:before="0" w:after="0" w:line="360" w:lineRule="auto"/>
    </w:pPr>
    <w:rPr>
      <w:rFonts w:ascii="Times New Roman" w:hAnsi="Times New Roman" w:cs="Times New Roman"/>
    </w:rPr>
  </w:style>
  <w:style w:type="paragraph" w:styleId="1145" w:customStyle="1">
    <w:name w:val="正文文本 21"/>
    <w:basedOn w:val="842"/>
    <w:next w:val="1026"/>
    <w:qFormat/>
    <w:pPr>
      <w:ind w:left="0" w:firstLine="2560"/>
      <w:jc w:val="center"/>
      <w:spacing w:before="0" w:after="120" w:line="480" w:lineRule="auto"/>
    </w:pPr>
    <w:rPr>
      <w:rFonts w:ascii="Times New Roman" w:hAnsi="Times New Roman" w:cs="Times New Roman"/>
    </w:rPr>
  </w:style>
  <w:style w:type="paragraph" w:styleId="1146" w:customStyle="1">
    <w:name w:val="a2"/>
    <w:basedOn w:val="842"/>
    <w:next w:val="881"/>
    <w:pPr>
      <w:ind w:left="0" w:firstLine="1024"/>
      <w:spacing w:before="280" w:after="280" w:line="240" w:lineRule="auto"/>
    </w:pPr>
    <w:rPr>
      <w:rFonts w:ascii="Times New Roman" w:hAnsi="Times New Roman" w:cs="Times New Roman"/>
    </w:rPr>
  </w:style>
  <w:style w:type="paragraph" w:styleId="1147" w:customStyle="1">
    <w:name w:val="font8"/>
    <w:basedOn w:val="842"/>
    <w:next w:val="1071"/>
    <w:qFormat/>
    <w:pPr>
      <w:ind w:left="0" w:firstLine="2048"/>
      <w:spacing w:before="280" w:after="280" w:line="240" w:lineRule="auto"/>
    </w:pPr>
    <w:rPr>
      <w:rFonts w:ascii="Times New Roman" w:hAnsi="Times New Roman" w:cs="Times New Roman"/>
    </w:rPr>
  </w:style>
  <w:style w:type="paragraph" w:styleId="1148" w:customStyle="1">
    <w:name w:val="Char Char Char Char Char Char1 Char Char Char Char Char Char1 Char Char Char Char Char Char Char"/>
    <w:basedOn w:val="842"/>
    <w:next w:val="1149"/>
    <w:qFormat/>
    <w:pPr>
      <w:ind w:left="0" w:firstLine="2560"/>
      <w:spacing w:before="0" w:after="0" w:line="240" w:lineRule="auto"/>
    </w:pPr>
    <w:rPr>
      <w:rFonts w:ascii="Times New Roman" w:hAnsi="Times New Roman" w:cs="Times New Roman"/>
    </w:rPr>
  </w:style>
  <w:style w:type="paragraph" w:styleId="1149" w:customStyle="1">
    <w:name w:val="xl87"/>
    <w:basedOn w:val="842"/>
    <w:next w:val="1105"/>
    <w:pPr>
      <w:ind w:left="0" w:firstLine="5120"/>
      <w:spacing w:before="280" w:after="280" w:line="240" w:lineRule="auto"/>
    </w:pPr>
    <w:rPr>
      <w:rFonts w:ascii="Times New Roman" w:hAnsi="Times New Roman" w:cs="Times New Roman"/>
    </w:rPr>
  </w:style>
  <w:style w:type="paragraph" w:styleId="1150" w:customStyle="1">
    <w:name w:val="444"/>
    <w:basedOn w:val="842"/>
    <w:next w:val="863"/>
    <w:pPr>
      <w:ind w:left="0" w:firstLine="4608"/>
      <w:jc w:val="center"/>
      <w:spacing w:before="0" w:after="0" w:line="312" w:lineRule="atLeast"/>
    </w:pPr>
    <w:rPr>
      <w:rFonts w:ascii="Times New Roman" w:hAnsi="Times New Roman" w:cs="Times New Roman"/>
    </w:rPr>
  </w:style>
  <w:style w:type="paragraph" w:styleId="1151" w:customStyle="1">
    <w:name w:val="表格文字图表文字"/>
    <w:basedOn w:val="842"/>
    <w:next w:val="1152"/>
    <w:qFormat/>
    <w:pPr>
      <w:ind w:left="0" w:firstLine="3584"/>
      <w:jc w:val="center"/>
      <w:spacing w:before="0" w:after="0" w:line="240" w:lineRule="auto"/>
    </w:pPr>
    <w:rPr>
      <w:rFonts w:ascii="Times New Roman" w:hAnsi="Times New Roman" w:cs="Times New Roman"/>
    </w:rPr>
  </w:style>
  <w:style w:type="paragraph" w:styleId="1152" w:customStyle="1">
    <w:name w:val="样式 目录 3 + 左侧:  2 字符1"/>
    <w:next w:val="1153"/>
    <w:qFormat/>
    <w:pPr>
      <w:ind w:left="960" w:firstLine="5120"/>
      <w:spacing w:line="360" w:lineRule="auto"/>
      <w:widowControl w:val="off"/>
    </w:pPr>
    <w:rPr>
      <w:rFonts w:ascii="Calibri" w:hAnsi="Calibri"/>
    </w:rPr>
  </w:style>
  <w:style w:type="paragraph" w:styleId="1153" w:customStyle="1">
    <w:name w:val="文档正文"/>
    <w:basedOn w:val="842"/>
    <w:next w:val="1154"/>
    <w:qFormat/>
    <w:pPr>
      <w:ind w:left="567" w:firstLine="3639"/>
      <w:spacing w:before="0" w:after="0" w:line="480" w:lineRule="atLeast"/>
    </w:pPr>
    <w:rPr>
      <w:rFonts w:ascii="Times New Roman" w:hAnsi="Times New Roman" w:cs="Times New Roman"/>
    </w:rPr>
  </w:style>
  <w:style w:type="paragraph" w:styleId="1154" w:customStyle="1">
    <w:name w:val="列表框2"/>
    <w:next w:val="1155"/>
    <w:qFormat/>
    <w:pPr>
      <w:ind w:firstLine="2048"/>
      <w:spacing w:line="460" w:lineRule="exact"/>
    </w:pPr>
    <w:rPr>
      <w:rFonts w:ascii="Calibri" w:hAnsi="Calibri"/>
    </w:rPr>
  </w:style>
  <w:style w:type="paragraph" w:styleId="1155" w:customStyle="1">
    <w:name w:val="font10"/>
    <w:basedOn w:val="842"/>
    <w:next w:val="874"/>
    <w:qFormat/>
    <w:pPr>
      <w:ind w:left="0" w:firstLine="3584"/>
      <w:spacing w:before="280" w:after="280" w:line="240" w:lineRule="auto"/>
    </w:pPr>
    <w:rPr>
      <w:rFonts w:ascii="Times New Roman" w:hAnsi="Times New Roman" w:cs="Times New Roman"/>
    </w:rPr>
  </w:style>
  <w:style w:type="paragraph" w:styleId="1156" w:customStyle="1">
    <w:name w:val="纯文本1"/>
    <w:basedOn w:val="842"/>
    <w:next w:val="886"/>
    <w:pPr>
      <w:ind w:left="0" w:firstLine="3584"/>
      <w:spacing w:before="0" w:after="0" w:line="240" w:lineRule="auto"/>
    </w:pPr>
    <w:rPr>
      <w:rFonts w:ascii="Times New Roman" w:hAnsi="Times New Roman" w:cs="Times New Roman"/>
    </w:rPr>
  </w:style>
  <w:style w:type="paragraph" w:styleId="1157" w:customStyle="1">
    <w:name w:val="索引 91"/>
    <w:basedOn w:val="842"/>
    <w:next w:val="841"/>
    <w:qFormat/>
    <w:pPr>
      <w:ind w:left="1600" w:firstLine="2560"/>
      <w:jc w:val="center"/>
      <w:spacing w:before="0" w:after="0" w:line="360" w:lineRule="auto"/>
    </w:pPr>
    <w:rPr>
      <w:rFonts w:ascii="Times New Roman" w:hAnsi="Times New Roman" w:cs="Times New Roman"/>
    </w:rPr>
  </w:style>
  <w:style w:type="paragraph" w:styleId="1158" w:customStyle="1">
    <w:name w:val="xl79"/>
    <w:basedOn w:val="842"/>
    <w:next w:val="1134"/>
    <w:qFormat/>
    <w:pPr>
      <w:ind w:left="0" w:firstLine="3584"/>
      <w:jc w:val="center"/>
      <w:spacing w:before="280" w:after="280" w:line="240" w:lineRule="auto"/>
    </w:pPr>
    <w:rPr>
      <w:rFonts w:ascii="Times New Roman" w:hAnsi="Times New Roman" w:cs="Times New Roman"/>
    </w:rPr>
  </w:style>
  <w:style w:type="paragraph" w:styleId="1159" w:customStyle="1">
    <w:name w:val="表格文字（4号居中）"/>
    <w:next w:val="1160"/>
    <w:pPr>
      <w:ind w:firstLine="2560"/>
      <w:jc w:val="center"/>
    </w:pPr>
    <w:rPr>
      <w:rFonts w:ascii="Calibri" w:hAnsi="Calibri"/>
    </w:rPr>
  </w:style>
  <w:style w:type="paragraph" w:styleId="1160" w:customStyle="1">
    <w:name w:val="!方块加粗"/>
    <w:basedOn w:val="842"/>
    <w:next w:val="1127"/>
    <w:qFormat/>
    <w:pPr>
      <w:ind w:left="600" w:firstLine="5212"/>
      <w:spacing w:before="0" w:after="0" w:line="360" w:lineRule="auto"/>
    </w:pPr>
    <w:rPr>
      <w:rFonts w:ascii="Times New Roman" w:hAnsi="Times New Roman" w:cs="Times New Roman"/>
    </w:rPr>
  </w:style>
  <w:style w:type="paragraph" w:styleId="1161" w:customStyle="1">
    <w:name w:val="xl75"/>
    <w:basedOn w:val="842"/>
    <w:next w:val="887"/>
    <w:qFormat/>
    <w:pPr>
      <w:ind w:left="0" w:firstLine="3584"/>
      <w:jc w:val="center"/>
      <w:spacing w:before="280" w:after="280" w:line="240" w:lineRule="auto"/>
    </w:pPr>
    <w:rPr>
      <w:rFonts w:ascii="Times New Roman" w:hAnsi="Times New Roman" w:cs="Times New Roman"/>
    </w:rPr>
  </w:style>
  <w:style w:type="paragraph" w:styleId="1162" w:customStyle="1">
    <w:name w:val="xl81"/>
    <w:basedOn w:val="842"/>
    <w:next w:val="1163"/>
    <w:pPr>
      <w:ind w:left="0" w:firstLine="5120"/>
      <w:spacing w:before="280" w:after="280" w:line="240" w:lineRule="auto"/>
    </w:pPr>
    <w:rPr>
      <w:rFonts w:ascii="Times New Roman" w:hAnsi="Times New Roman" w:cs="Times New Roman"/>
    </w:rPr>
  </w:style>
  <w:style w:type="paragraph" w:styleId="1163" w:customStyle="1">
    <w:name w:val="xl25"/>
    <w:basedOn w:val="842"/>
    <w:next w:val="1164"/>
    <w:qFormat/>
    <w:pPr>
      <w:ind w:left="0" w:firstLine="14"/>
      <w:spacing w:before="280" w:after="280" w:line="240" w:lineRule="auto"/>
      <w:shd w:val="clear" w:color="000000" w:fill="ffffff"/>
    </w:pPr>
    <w:rPr>
      <w:rFonts w:ascii="Times New Roman" w:hAnsi="Times New Roman" w:cs="Times New Roman"/>
    </w:rPr>
  </w:style>
  <w:style w:type="paragraph" w:styleId="1164" w:customStyle="1">
    <w:name w:val="普通(网站)1"/>
    <w:basedOn w:val="842"/>
    <w:next w:val="1165"/>
    <w:qFormat/>
    <w:pPr>
      <w:ind w:left="200" w:firstLine="1224"/>
      <w:spacing w:before="280" w:after="280" w:line="240" w:lineRule="auto"/>
    </w:pPr>
    <w:rPr>
      <w:rFonts w:ascii="Times New Roman" w:hAnsi="Times New Roman" w:cs="Times New Roman"/>
    </w:rPr>
  </w:style>
  <w:style w:type="paragraph" w:styleId="1165" w:customStyle="1">
    <w:name w:val="xl27"/>
    <w:basedOn w:val="842"/>
    <w:next w:val="1151"/>
    <w:qFormat/>
    <w:pPr>
      <w:ind w:left="0" w:firstLine="20"/>
      <w:spacing w:before="280" w:after="280" w:line="240" w:lineRule="auto"/>
      <w:shd w:val="clear" w:color="000000" w:fill="ffffff"/>
    </w:pPr>
    <w:rPr>
      <w:rFonts w:ascii="Times New Roman" w:hAnsi="Times New Roman" w:cs="Times New Roman"/>
    </w:rPr>
  </w:style>
  <w:style w:type="paragraph" w:styleId="1166" w:customStyle="1">
    <w:name w:val="H 4"/>
    <w:basedOn w:val="846"/>
    <w:next w:val="1167"/>
    <w:pPr>
      <w:ind w:left="426" w:firstLine="24"/>
      <w:spacing w:before="0" w:after="0" w:line="360" w:lineRule="auto"/>
      <w:outlineLvl w:val="3"/>
    </w:pPr>
  </w:style>
  <w:style w:type="paragraph" w:styleId="1167" w:customStyle="1">
    <w:name w:val="xl82"/>
    <w:basedOn w:val="842"/>
    <w:next w:val="1162"/>
    <w:qFormat/>
    <w:pPr>
      <w:ind w:left="0" w:firstLine="5120"/>
      <w:spacing w:before="280" w:after="280" w:line="240" w:lineRule="auto"/>
    </w:pPr>
    <w:rPr>
      <w:rFonts w:ascii="Times New Roman" w:hAnsi="Times New Roman" w:cs="Times New Roman"/>
    </w:rPr>
  </w:style>
  <w:style w:type="paragraph" w:styleId="1168" w:customStyle="1">
    <w:name w:val="Char Char Char Char Char Char Char Char"/>
    <w:next w:val="1169"/>
    <w:pPr>
      <w:ind w:firstLine="14"/>
      <w:jc w:val="both"/>
      <w:shd w:val="clear" w:color="000000" w:fill="000080"/>
      <w:widowControl w:val="off"/>
    </w:pPr>
    <w:rPr>
      <w:rFonts w:ascii="Calibri" w:hAnsi="Calibri"/>
    </w:rPr>
  </w:style>
  <w:style w:type="paragraph" w:styleId="1169" w:customStyle="1">
    <w:name w:val="Char Char Char Char Char Char1 Char Char Char1 Char Char Char Char Char Char Char Char Char Char Char Char Char Char Char"/>
    <w:basedOn w:val="842"/>
    <w:next w:val="1170"/>
    <w:pPr>
      <w:ind w:left="0" w:firstLine="2560"/>
      <w:spacing w:before="0" w:after="0" w:line="240" w:lineRule="auto"/>
    </w:pPr>
    <w:rPr>
      <w:rFonts w:ascii="Times New Roman" w:hAnsi="Times New Roman" w:cs="Times New Roman"/>
    </w:rPr>
  </w:style>
  <w:style w:type="paragraph" w:styleId="1170" w:customStyle="1">
    <w:name w:val="样式1"/>
    <w:basedOn w:val="842"/>
    <w:next w:val="1171"/>
    <w:qFormat/>
    <w:pPr>
      <w:ind w:left="0" w:firstLine="1536"/>
      <w:spacing w:before="120" w:after="120" w:line="300" w:lineRule="auto"/>
    </w:pPr>
    <w:rPr>
      <w:rFonts w:ascii="Times New Roman" w:hAnsi="Times New Roman" w:cs="Times New Roman"/>
    </w:rPr>
  </w:style>
  <w:style w:type="paragraph" w:styleId="1171" w:customStyle="1">
    <w:name w:val="索引 41"/>
    <w:basedOn w:val="842"/>
    <w:next w:val="841"/>
    <w:qFormat/>
    <w:pPr>
      <w:ind w:left="600" w:firstLine="2560"/>
      <w:jc w:val="center"/>
      <w:spacing w:before="0" w:after="0" w:line="360" w:lineRule="auto"/>
    </w:pPr>
    <w:rPr>
      <w:rFonts w:ascii="Times New Roman" w:hAnsi="Times New Roman" w:cs="Times New Roman"/>
    </w:rPr>
  </w:style>
  <w:style w:type="paragraph" w:styleId="1172" w:customStyle="1">
    <w:name w:val="自定义二"/>
    <w:basedOn w:val="842"/>
    <w:next w:val="841"/>
    <w:qFormat/>
    <w:pPr>
      <w:ind w:left="0" w:firstLine="14"/>
      <w:spacing w:before="0" w:after="0" w:line="360" w:lineRule="auto"/>
      <w:outlineLvl w:val="1"/>
    </w:pPr>
    <w:rPr>
      <w:rFonts w:ascii="Times New Roman" w:hAnsi="Times New Roman" w:cs="Times New Roman"/>
    </w:rPr>
  </w:style>
  <w:style w:type="paragraph" w:styleId="1173" w:customStyle="1">
    <w:name w:val="Bullet"/>
    <w:next w:val="1111"/>
    <w:pPr>
      <w:ind w:left="567" w:right="2835" w:firstLine="3584"/>
      <w:spacing w:after="60"/>
    </w:pPr>
    <w:rPr>
      <w:rFonts w:ascii="Calibri" w:hAnsi="Calibri"/>
    </w:rPr>
  </w:style>
  <w:style w:type="paragraph" w:styleId="1174" w:customStyle="1">
    <w:name w:val="Char Char Char Char Char Char1"/>
    <w:basedOn w:val="842"/>
    <w:next w:val="1175"/>
    <w:qFormat/>
    <w:pPr>
      <w:ind w:left="0" w:firstLine="2560"/>
      <w:spacing w:before="0" w:after="0" w:line="240" w:lineRule="auto"/>
    </w:pPr>
    <w:rPr>
      <w:rFonts w:ascii="Times New Roman" w:hAnsi="Times New Roman" w:cs="Times New Roman"/>
    </w:rPr>
  </w:style>
  <w:style w:type="paragraph" w:styleId="1175" w:customStyle="1">
    <w:name w:val="正文缩进2"/>
    <w:basedOn w:val="842"/>
    <w:next w:val="1176"/>
    <w:qFormat/>
    <w:pPr>
      <w:ind w:left="420" w:firstLine="1188"/>
      <w:spacing w:before="0" w:after="0" w:line="240" w:lineRule="auto"/>
    </w:pPr>
    <w:rPr>
      <w:rFonts w:ascii="Times New Roman" w:hAnsi="Times New Roman" w:cs="Times New Roman"/>
    </w:rPr>
  </w:style>
  <w:style w:type="paragraph" w:styleId="1176" w:customStyle="1">
    <w:name w:val="列出段落2"/>
    <w:basedOn w:val="842"/>
    <w:next w:val="1177"/>
    <w:qFormat/>
    <w:pPr>
      <w:ind w:left="420" w:firstLine="3748"/>
      <w:spacing w:before="0" w:after="0" w:line="240" w:lineRule="auto"/>
    </w:pPr>
    <w:rPr>
      <w:rFonts w:ascii="Times New Roman" w:hAnsi="Times New Roman" w:cs="Times New Roman"/>
    </w:rPr>
  </w:style>
  <w:style w:type="paragraph" w:styleId="1177" w:customStyle="1">
    <w:name w:val="正文文本缩进 31"/>
    <w:basedOn w:val="842"/>
    <w:next w:val="1178"/>
    <w:qFormat/>
    <w:pPr>
      <w:ind w:left="1200" w:firstLine="1248"/>
      <w:spacing w:before="120" w:after="0" w:line="22" w:lineRule="atLeast"/>
    </w:pPr>
    <w:rPr>
      <w:rFonts w:ascii="Times New Roman" w:hAnsi="Times New Roman" w:cs="Times New Roman"/>
    </w:rPr>
  </w:style>
  <w:style w:type="paragraph" w:styleId="1178" w:customStyle="1">
    <w:name w:val="样式 正文首行缩进 + 首行缩进:  2 字符5"/>
    <w:next w:val="1179"/>
    <w:pPr>
      <w:ind w:left="200" w:firstLine="3784"/>
      <w:spacing w:line="300" w:lineRule="auto"/>
    </w:pPr>
    <w:rPr>
      <w:rFonts w:ascii="Calibri" w:hAnsi="Calibri"/>
    </w:rPr>
  </w:style>
  <w:style w:type="paragraph" w:styleId="1179" w:customStyle="1">
    <w:name w:val="Char2"/>
    <w:basedOn w:val="842"/>
    <w:next w:val="1173"/>
    <w:qFormat/>
    <w:pPr>
      <w:ind w:left="0" w:firstLine="3584"/>
      <w:spacing w:before="0" w:after="160" w:line="240" w:lineRule="exact"/>
    </w:pPr>
    <w:rPr>
      <w:rFonts w:ascii="Times New Roman" w:hAnsi="Times New Roman" w:cs="Times New Roman"/>
    </w:rPr>
  </w:style>
  <w:style w:type="paragraph" w:styleId="1180" w:customStyle="1">
    <w:name w:val="WPSOffice手动目录 1"/>
  </w:style>
  <w:style w:type="paragraph" w:styleId="1181" w:customStyle="1">
    <w:name w:val="纯文本4"/>
    <w:basedOn w:val="841"/>
    <w:pPr>
      <w:ind w:left="0"/>
      <w:widowControl w:val="off"/>
    </w:pPr>
    <w:rPr>
      <w:rFonts w:ascii="宋体" w:hAnsi="Courier New" w:eastAsia="楷体_GB2312" w:cs="Times New Roman"/>
      <w:sz w:val="26"/>
    </w:rPr>
  </w:style>
  <w:style w:type="paragraph" w:styleId="1182" w:customStyle="1">
    <w:name w:val="Char Char Char Char Char Char Char Char Char Char Char Char Char Char Char Char"/>
    <w:basedOn w:val="842"/>
    <w:next w:val="1183"/>
    <w:qFormat/>
    <w:pPr>
      <w:ind w:left="682" w:firstLine="1224"/>
      <w:spacing w:before="0" w:after="0" w:line="360" w:lineRule="auto"/>
    </w:pPr>
    <w:rPr>
      <w:rFonts w:ascii="Times New Roman" w:hAnsi="Times New Roman" w:cs="Times New Roman"/>
    </w:rPr>
  </w:style>
  <w:style w:type="paragraph" w:styleId="1183" w:customStyle="1">
    <w:name w:val="列表编号 51"/>
    <w:basedOn w:val="842"/>
    <w:next w:val="1184"/>
    <w:pPr>
      <w:ind w:left="900" w:firstLine="2652"/>
      <w:spacing w:before="0" w:after="0" w:line="360" w:lineRule="auto"/>
    </w:pPr>
    <w:rPr>
      <w:rFonts w:ascii="Times New Roman" w:hAnsi="Times New Roman" w:cs="Times New Roman"/>
    </w:rPr>
  </w:style>
  <w:style w:type="paragraph" w:styleId="1184" w:customStyle="1">
    <w:name w:val="样式 标题 1 + 黑体 (符号) 宋体 三号 段前: 7.8 磅 段后: 7.8 磅 行距: 1.5 倍行距"/>
    <w:basedOn w:val="843"/>
    <w:next w:val="1185"/>
    <w:pPr>
      <w:ind w:left="432" w:firstLine="18"/>
      <w:spacing w:before="40" w:after="40" w:line="360" w:lineRule="auto"/>
      <w:outlineLvl w:val="0"/>
    </w:pPr>
  </w:style>
  <w:style w:type="paragraph" w:styleId="1185" w:customStyle="1">
    <w:name w:val="表格用"/>
    <w:basedOn w:val="842"/>
    <w:next w:val="1142"/>
    <w:qFormat/>
    <w:pPr>
      <w:ind w:left="0" w:firstLine="1024"/>
      <w:spacing w:before="0" w:after="0" w:line="360" w:lineRule="auto"/>
    </w:pPr>
    <w:rPr>
      <w:rFonts w:ascii="Times New Roman" w:hAnsi="Times New Roman" w:cs="Times New Roman"/>
    </w:rPr>
  </w:style>
  <w:style w:type="paragraph" w:styleId="1186" w:customStyle="1">
    <w:name w:val="xl71"/>
    <w:basedOn w:val="842"/>
    <w:next w:val="1187"/>
    <w:qFormat/>
    <w:pPr>
      <w:ind w:left="0" w:firstLine="1536"/>
      <w:spacing w:before="280" w:after="280" w:line="240" w:lineRule="auto"/>
    </w:pPr>
    <w:rPr>
      <w:rFonts w:ascii="Times New Roman" w:hAnsi="Times New Roman" w:cs="Times New Roman"/>
    </w:rPr>
  </w:style>
  <w:style w:type="paragraph" w:styleId="1187" w:customStyle="1">
    <w:name w:val="正文文本 31"/>
    <w:basedOn w:val="842"/>
    <w:next w:val="1188"/>
    <w:qFormat/>
    <w:pPr>
      <w:ind w:left="0" w:firstLine="3584"/>
      <w:jc w:val="center"/>
      <w:spacing w:before="0" w:after="120" w:line="360" w:lineRule="auto"/>
    </w:pPr>
    <w:rPr>
      <w:rFonts w:ascii="Times New Roman" w:hAnsi="Times New Roman" w:cs="Times New Roman"/>
    </w:rPr>
  </w:style>
  <w:style w:type="paragraph" w:styleId="1188" w:customStyle="1">
    <w:name w:val="列出段落111"/>
    <w:basedOn w:val="842"/>
    <w:next w:val="1124"/>
    <w:qFormat/>
    <w:pPr>
      <w:ind w:left="420" w:firstLine="3748"/>
      <w:spacing w:before="0" w:after="0" w:line="240" w:lineRule="auto"/>
    </w:pPr>
    <w:rPr>
      <w:rFonts w:ascii="Times New Roman" w:hAnsi="Times New Roman" w:cs="Times New Roman"/>
    </w:rPr>
  </w:style>
  <w:style w:type="paragraph" w:styleId="1189" w:customStyle="1">
    <w:name w:val="修订1"/>
    <w:rPr>
      <w:rFonts w:ascii="Calibri" w:hAnsi="Calibri"/>
    </w:rPr>
  </w:style>
  <w:style w:type="paragraph" w:styleId="1190" w:customStyle="1">
    <w:name w:val="正文文本缩进 21"/>
    <w:basedOn w:val="842"/>
    <w:next w:val="1130"/>
    <w:qFormat/>
    <w:pPr>
      <w:ind w:left="480" w:firstLine="4832"/>
      <w:spacing w:before="0" w:after="0" w:line="240" w:lineRule="auto"/>
    </w:pPr>
    <w:rPr>
      <w:rFonts w:ascii="Times New Roman" w:hAnsi="Times New Roman" w:cs="Times New Roman"/>
    </w:rPr>
  </w:style>
  <w:style w:type="paragraph" w:styleId="1191" w:customStyle="1">
    <w:name w:val="Char Char4 Char Char"/>
    <w:basedOn w:val="842"/>
    <w:next w:val="1140"/>
    <w:qFormat/>
    <w:pPr>
      <w:ind w:left="0" w:firstLine="2560"/>
      <w:spacing w:before="0" w:after="0" w:line="240" w:lineRule="auto"/>
    </w:pPr>
    <w:rPr>
      <w:rFonts w:ascii="Times New Roman" w:hAnsi="Times New Roman" w:cs="Times New Roman"/>
    </w:rPr>
  </w:style>
  <w:style w:type="paragraph" w:styleId="1192" w:customStyle="1">
    <w:name w:val="样式"/>
    <w:next w:val="841"/>
    <w:pPr>
      <w:ind w:firstLine="3584"/>
      <w:widowControl w:val="off"/>
    </w:pPr>
    <w:rPr>
      <w:rFonts w:ascii="Calibri" w:hAnsi="Calibri"/>
    </w:rPr>
  </w:style>
  <w:style w:type="paragraph" w:styleId="1193" w:customStyle="1">
    <w:name w:val="TOC 标题1"/>
    <w:basedOn w:val="843"/>
    <w:next w:val="841"/>
    <w:qFormat/>
    <w:pPr>
      <w:ind w:left="0" w:firstLine="6144"/>
      <w:spacing w:before="480" w:after="0" w:line="276" w:lineRule="auto"/>
    </w:pPr>
    <w:rPr>
      <w:b/>
      <w:sz w:val="30"/>
    </w:rPr>
  </w:style>
  <w:style w:type="paragraph" w:styleId="1194" w:customStyle="1">
    <w:name w:val="纯文本3"/>
    <w:basedOn w:val="841"/>
    <w:rPr>
      <w:rFonts w:ascii="宋体" w:hAnsi="Courier New" w:cs="Times New Roman"/>
    </w:rPr>
  </w:style>
  <w:style w:type="paragraph" w:styleId="1195" w:customStyle="1">
    <w:name w:val="afont"/>
    <w:basedOn w:val="842"/>
    <w:next w:val="867"/>
    <w:pPr>
      <w:ind w:left="0" w:firstLine="2048"/>
      <w:spacing w:before="100" w:after="100" w:line="285" w:lineRule="atLeast"/>
    </w:pPr>
    <w:rPr>
      <w:rFonts w:ascii="Times New Roman" w:hAnsi="Times New Roman" w:cs="Times New Roman"/>
    </w:rPr>
  </w:style>
  <w:style w:type="paragraph" w:styleId="1196" w:customStyle="1">
    <w:name w:val="xl85"/>
    <w:basedOn w:val="842"/>
    <w:next w:val="1197"/>
    <w:pPr>
      <w:ind w:left="0" w:firstLine="2048"/>
      <w:jc w:val="center"/>
      <w:spacing w:before="280" w:after="280" w:line="240" w:lineRule="auto"/>
    </w:pPr>
    <w:rPr>
      <w:rFonts w:ascii="Times New Roman" w:hAnsi="Times New Roman" w:cs="Times New Roman"/>
    </w:rPr>
  </w:style>
  <w:style w:type="paragraph" w:styleId="1197" w:customStyle="1">
    <w:name w:val="文章总标题"/>
    <w:basedOn w:val="842"/>
    <w:next w:val="1198"/>
    <w:pPr>
      <w:ind w:left="0" w:firstLine="7168"/>
      <w:jc w:val="center"/>
      <w:spacing w:before="566" w:after="544" w:line="566" w:lineRule="atLeast"/>
    </w:pPr>
    <w:rPr>
      <w:rFonts w:ascii="Times New Roman" w:hAnsi="Times New Roman" w:cs="Times New Roman"/>
    </w:rPr>
  </w:style>
  <w:style w:type="paragraph" w:styleId="1198" w:customStyle="1">
    <w:name w:val="样式 首行缩进:  2 字符"/>
    <w:basedOn w:val="842"/>
    <w:next w:val="1161"/>
    <w:pPr>
      <w:ind w:left="200" w:firstLine="1224"/>
      <w:spacing w:before="0" w:after="0" w:line="400" w:lineRule="exact"/>
    </w:pPr>
    <w:rPr>
      <w:rFonts w:ascii="Times New Roman" w:hAnsi="Times New Roman" w:cs="Times New Roman"/>
    </w:rPr>
  </w:style>
  <w:style w:type="paragraph" w:styleId="1199" w:customStyle="1">
    <w:name w:val="二级条标题"/>
    <w:basedOn w:val="842"/>
    <w:next w:val="841"/>
    <w:pPr>
      <w:ind w:left="0" w:firstLine="8"/>
      <w:spacing w:before="0" w:after="0" w:line="240" w:lineRule="auto"/>
      <w:outlineLvl w:val="3"/>
    </w:pPr>
    <w:rPr>
      <w:rFonts w:ascii="Times New Roman" w:hAnsi="Times New Roman" w:cs="Times New Roman"/>
    </w:rPr>
  </w:style>
  <w:style w:type="paragraph" w:styleId="1200" w:customStyle="1">
    <w:name w:val="Plain Text*"/>
    <w:basedOn w:val="841"/>
    <w:pPr>
      <w:ind w:left="0"/>
      <w:jc w:val="left"/>
    </w:pPr>
    <w:rPr>
      <w:rFonts w:ascii="宋体" w:hAnsi="宋体" w:eastAsia="楷体_GB2312" w:cs="Courier New"/>
      <w:sz w:val="26"/>
      <w:lang w:val="zh-CN"/>
    </w:rPr>
  </w:style>
  <w:style w:type="paragraph" w:styleId="1201" w:customStyle="1">
    <w:name w:val="样式 加粗 居中2"/>
    <w:basedOn w:val="842"/>
    <w:next w:val="1053"/>
    <w:qFormat/>
    <w:pPr>
      <w:ind w:left="0" w:firstLine="2560"/>
      <w:jc w:val="center"/>
      <w:spacing w:before="0" w:after="0" w:line="360" w:lineRule="auto"/>
    </w:pPr>
    <w:rPr>
      <w:rFonts w:ascii="Times New Roman" w:hAnsi="Times New Roman" w:cs="Times New Roman"/>
    </w:rPr>
  </w:style>
  <w:style w:type="paragraph" w:styleId="1202" w:customStyle="1">
    <w:name w:val="标准文本"/>
    <w:basedOn w:val="842"/>
    <w:next w:val="1156"/>
    <w:pPr>
      <w:ind w:left="480" w:firstLine="2784"/>
      <w:spacing w:before="0" w:after="0" w:line="360" w:lineRule="auto"/>
    </w:pPr>
    <w:rPr>
      <w:rFonts w:ascii="Times New Roman" w:hAnsi="Times New Roman" w:cs="Times New Roman"/>
    </w:rPr>
  </w:style>
  <w:style w:type="paragraph" w:styleId="1203" w:customStyle="1">
    <w:name w:val="font5"/>
    <w:basedOn w:val="842"/>
    <w:next w:val="1204"/>
    <w:pPr>
      <w:ind w:left="0" w:firstLine="5120"/>
      <w:spacing w:before="280" w:after="280" w:line="240" w:lineRule="auto"/>
    </w:pPr>
    <w:rPr>
      <w:rFonts w:ascii="Times New Roman" w:hAnsi="Times New Roman" w:cs="Times New Roman"/>
    </w:rPr>
  </w:style>
  <w:style w:type="paragraph" w:styleId="1204" w:customStyle="1">
    <w:name w:val="索引标题1"/>
    <w:basedOn w:val="842"/>
    <w:next w:val="1083"/>
    <w:qFormat/>
    <w:pPr>
      <w:ind w:left="0" w:firstLine="4608"/>
      <w:jc w:val="center"/>
      <w:spacing w:before="0" w:after="0" w:line="360" w:lineRule="auto"/>
    </w:pPr>
    <w:rPr>
      <w:rFonts w:ascii="Times New Roman" w:hAnsi="Times New Roman" w:cs="Times New Roman"/>
    </w:rPr>
  </w:style>
  <w:style w:type="paragraph" w:styleId="1205" w:customStyle="1">
    <w:name w:val="Char Char Char Char Char Char1 Char Char Char1 Char Char Char Char Char Char Char Char Char Char Char Char Char Char Char Char"/>
    <w:basedOn w:val="842"/>
    <w:next w:val="1206"/>
    <w:pPr>
      <w:ind w:left="0" w:firstLine="2560"/>
      <w:spacing w:before="0" w:after="0" w:line="240" w:lineRule="auto"/>
    </w:pPr>
    <w:rPr>
      <w:rFonts w:ascii="Times New Roman" w:hAnsi="Times New Roman" w:cs="Times New Roman"/>
    </w:rPr>
  </w:style>
  <w:style w:type="paragraph" w:styleId="1206" w:customStyle="1">
    <w:name w:val="1正文"/>
    <w:basedOn w:val="842"/>
    <w:next w:val="1207"/>
    <w:qFormat/>
    <w:pPr>
      <w:ind w:left="480" w:firstLine="2784"/>
      <w:spacing w:before="0" w:after="0" w:line="300" w:lineRule="auto"/>
    </w:pPr>
    <w:rPr>
      <w:rFonts w:ascii="Times New Roman" w:hAnsi="Times New Roman" w:cs="Times New Roman"/>
    </w:rPr>
  </w:style>
  <w:style w:type="paragraph" w:styleId="1207" w:customStyle="1">
    <w:name w:val="目录2"/>
    <w:basedOn w:val="842"/>
    <w:next w:val="841"/>
    <w:pPr>
      <w:ind w:left="209" w:firstLine="5329"/>
      <w:spacing w:before="0" w:after="0" w:line="317" w:lineRule="atLeast"/>
    </w:pPr>
    <w:rPr>
      <w:rFonts w:ascii="Times New Roman" w:hAnsi="Times New Roman" w:cs="Times New Roman"/>
    </w:rPr>
  </w:style>
  <w:style w:type="paragraph" w:styleId="1208" w:customStyle="1">
    <w:name w:val="图表目录1"/>
    <w:basedOn w:val="842"/>
    <w:next w:val="841"/>
    <w:pPr>
      <w:ind w:left="200" w:firstLine="2616"/>
      <w:jc w:val="center"/>
      <w:spacing w:before="0" w:after="0" w:line="360" w:lineRule="auto"/>
    </w:pPr>
    <w:rPr>
      <w:rFonts w:ascii="Times New Roman" w:hAnsi="Times New Roman" w:cs="Times New Roman"/>
    </w:rPr>
  </w:style>
  <w:style w:type="paragraph" w:styleId="1209" w:customStyle="1">
    <w:name w:val="xl63"/>
    <w:basedOn w:val="842"/>
    <w:next w:val="1159"/>
    <w:pPr>
      <w:ind w:left="0" w:firstLine="5120"/>
      <w:spacing w:before="280" w:after="280" w:line="240" w:lineRule="auto"/>
    </w:pPr>
    <w:rPr>
      <w:rFonts w:ascii="Times New Roman" w:hAnsi="Times New Roman" w:cs="Times New Roman"/>
    </w:rPr>
  </w:style>
  <w:style w:type="paragraph" w:styleId="1210">
    <w:name w:val="List Paragraph"/>
    <w:basedOn w:val="841"/>
    <w:next w:val="1117"/>
    <w:qFormat/>
    <w:pPr>
      <w:ind w:left="420" w:firstLine="3748"/>
    </w:pPr>
    <w:rPr>
      <w:rFonts w:ascii="Times New Roman" w:hAnsi="Times New Roman" w:cs="Times New Roman"/>
    </w:rPr>
  </w:style>
  <w:style w:type="paragraph" w:styleId="1211" w:customStyle="1">
    <w:name w:val="xl73"/>
    <w:basedOn w:val="842"/>
    <w:next w:val="1212"/>
    <w:pPr>
      <w:ind w:left="0" w:firstLine="3584"/>
      <w:spacing w:before="280" w:after="280" w:line="240" w:lineRule="auto"/>
    </w:pPr>
    <w:rPr>
      <w:rFonts w:ascii="Times New Roman" w:hAnsi="Times New Roman" w:cs="Times New Roman"/>
    </w:rPr>
  </w:style>
  <w:style w:type="paragraph" w:styleId="1212" w:customStyle="1">
    <w:name w:val="xl80"/>
    <w:basedOn w:val="842"/>
    <w:next w:val="1213"/>
    <w:pPr>
      <w:ind w:left="0" w:firstLine="3584"/>
      <w:jc w:val="center"/>
      <w:spacing w:before="280" w:after="280" w:line="240" w:lineRule="auto"/>
    </w:pPr>
    <w:rPr>
      <w:rFonts w:ascii="Times New Roman" w:hAnsi="Times New Roman" w:cs="Times New Roman"/>
    </w:rPr>
  </w:style>
  <w:style w:type="paragraph" w:styleId="1213" w:customStyle="1">
    <w:name w:val="样式2"/>
    <w:basedOn w:val="847"/>
    <w:next w:val="1214"/>
    <w:pPr>
      <w:ind w:left="1134" w:firstLine="18"/>
      <w:spacing w:before="0" w:after="0" w:line="360" w:lineRule="auto"/>
      <w:outlineLvl w:val="4"/>
    </w:pPr>
  </w:style>
  <w:style w:type="paragraph" w:styleId="1214" w:customStyle="1">
    <w:name w:val="日期1"/>
    <w:basedOn w:val="842"/>
    <w:next w:val="841"/>
    <w:qFormat/>
    <w:pPr>
      <w:ind w:left="100" w:firstLine="6144"/>
      <w:spacing w:before="0" w:after="0" w:line="240" w:lineRule="auto"/>
    </w:pPr>
    <w:rPr>
      <w:rFonts w:ascii="Times New Roman" w:hAnsi="Times New Roman" w:cs="Times New Roman"/>
    </w:rPr>
  </w:style>
  <w:style w:type="paragraph" w:styleId="1215" w:customStyle="1">
    <w:name w:val="图1"/>
    <w:basedOn w:val="842"/>
    <w:next w:val="841"/>
    <w:pPr>
      <w:ind w:left="1105" w:firstLine="2580"/>
      <w:jc w:val="center"/>
      <w:spacing w:before="0" w:after="0" w:line="360" w:lineRule="auto"/>
    </w:pPr>
    <w:rPr>
      <w:rFonts w:ascii="Times New Roman" w:hAnsi="Times New Roman" w:cs="Times New Roman"/>
    </w:rPr>
  </w:style>
  <w:style w:type="paragraph" w:styleId="1216" w:customStyle="1">
    <w:name w:val="Char Char Char Char Char Char1 Char Char Char1 Char Char Char Char Char Char Char Char Char Char Char Char"/>
    <w:basedOn w:val="842"/>
    <w:next w:val="1196"/>
    <w:pPr>
      <w:ind w:left="0" w:firstLine="2560"/>
      <w:spacing w:before="0" w:after="0" w:line="240" w:lineRule="auto"/>
    </w:pPr>
    <w:rPr>
      <w:rFonts w:ascii="Times New Roman" w:hAnsi="Times New Roman" w:cs="Times New Roman"/>
    </w:rPr>
  </w:style>
  <w:style w:type="paragraph" w:styleId="1217" w:customStyle="1">
    <w:name w:val="Char Char Char Char Char Char Char"/>
    <w:basedOn w:val="842"/>
    <w:next w:val="1102"/>
    <w:qFormat/>
    <w:pPr>
      <w:ind w:left="200" w:firstLine="4808"/>
      <w:spacing w:before="0" w:after="0" w:line="360" w:lineRule="auto"/>
    </w:pPr>
    <w:rPr>
      <w:rFonts w:ascii="Times New Roman" w:hAnsi="Times New Roman" w:cs="Times New Roman"/>
    </w:rPr>
  </w:style>
  <w:style w:type="paragraph" w:styleId="1218" w:customStyle="1">
    <w:name w:val="Char Char Char Char Char Char Char Char Char Char Char Char Char Char Char"/>
    <w:basedOn w:val="842"/>
    <w:next w:val="1193"/>
    <w:pPr>
      <w:ind w:left="0" w:firstLine="3584"/>
      <w:jc w:val="center"/>
      <w:spacing w:before="0" w:after="0" w:line="400" w:lineRule="exact"/>
    </w:pPr>
    <w:rPr>
      <w:rFonts w:ascii="Times New Roman" w:hAnsi="Times New Roman" w:cs="Times New Roman"/>
    </w:rPr>
  </w:style>
  <w:style w:type="paragraph" w:styleId="1219">
    <w:name w:val="Intense Quote"/>
    <w:next w:val="841"/>
    <w:qFormat/>
    <w:pPr>
      <w:ind w:left="3766" w:right="950"/>
      <w:jc w:val="center"/>
      <w:spacing w:before="360" w:after="360"/>
    </w:pPr>
    <w:rPr>
      <w:rFonts w:ascii="Calibri" w:hAnsi="Calibri"/>
      <w:i/>
    </w:rPr>
  </w:style>
  <w:style w:type="paragraph" w:styleId="1220" w:customStyle="1">
    <w:name w:val="索引 51"/>
    <w:basedOn w:val="842"/>
    <w:next w:val="841"/>
    <w:pPr>
      <w:ind w:left="800" w:firstLine="2560"/>
      <w:jc w:val="center"/>
      <w:spacing w:before="0" w:after="0" w:line="360" w:lineRule="auto"/>
    </w:pPr>
    <w:rPr>
      <w:rFonts w:ascii="Times New Roman" w:hAnsi="Times New Roman" w:cs="Times New Roman"/>
    </w:rPr>
  </w:style>
  <w:style w:type="paragraph" w:styleId="1221" w:customStyle="1">
    <w:name w:val="图表"/>
    <w:basedOn w:val="842"/>
    <w:next w:val="1222"/>
    <w:pPr>
      <w:ind w:left="0" w:firstLine="2048"/>
      <w:jc w:val="center"/>
      <w:spacing w:before="0" w:after="0" w:line="240" w:lineRule="auto"/>
    </w:pPr>
    <w:rPr>
      <w:rFonts w:ascii="Times New Roman" w:hAnsi="Times New Roman" w:cs="Times New Roman"/>
    </w:rPr>
  </w:style>
  <w:style w:type="paragraph" w:styleId="1222" w:customStyle="1">
    <w:name w:val="reader-word-layer"/>
    <w:basedOn w:val="842"/>
    <w:next w:val="1223"/>
    <w:qFormat/>
    <w:pPr>
      <w:ind w:left="0" w:firstLine="1024"/>
      <w:spacing w:before="280" w:after="280" w:line="240" w:lineRule="auto"/>
    </w:pPr>
    <w:rPr>
      <w:rFonts w:ascii="Times New Roman" w:hAnsi="Times New Roman" w:cs="Times New Roman"/>
    </w:rPr>
  </w:style>
  <w:style w:type="paragraph" w:styleId="1223" w:customStyle="1">
    <w:name w:val="样式 加粗 居中1"/>
    <w:next w:val="1062"/>
    <w:pPr>
      <w:ind w:firstLine="2560"/>
      <w:jc w:val="center"/>
    </w:pPr>
    <w:rPr>
      <w:rFonts w:ascii="Calibri" w:hAnsi="Calibri"/>
    </w:rPr>
  </w:style>
  <w:style w:type="paragraph" w:styleId="1224" w:customStyle="1">
    <w:name w:val="修订2"/>
    <w:rPr>
      <w:rFonts w:ascii="Calibri" w:hAnsi="Calibri"/>
    </w:rPr>
  </w:style>
  <w:style w:type="paragraph" w:styleId="1225" w:customStyle="1">
    <w:name w:val="Body"/>
    <w:next w:val="1157"/>
    <w:pPr>
      <w:ind w:left="567" w:right="2835" w:firstLine="3584"/>
      <w:spacing w:after="60"/>
    </w:pPr>
    <w:rPr>
      <w:rFonts w:ascii="Calibri" w:hAnsi="Calibri"/>
    </w:rPr>
  </w:style>
  <w:style w:type="paragraph" w:styleId="1226" w:customStyle="1">
    <w:name w:val="font6"/>
    <w:basedOn w:val="842"/>
    <w:next w:val="1227"/>
    <w:pPr>
      <w:ind w:left="0" w:firstLine="5120"/>
      <w:spacing w:before="280" w:after="280" w:line="240" w:lineRule="auto"/>
    </w:pPr>
    <w:rPr>
      <w:rFonts w:ascii="Times New Roman" w:hAnsi="Times New Roman" w:cs="Times New Roman"/>
    </w:rPr>
  </w:style>
  <w:style w:type="paragraph" w:styleId="1227" w:customStyle="1">
    <w:name w:val="正文首行缩进 21"/>
    <w:basedOn w:val="854"/>
    <w:next w:val="1225"/>
    <w:qFormat/>
    <w:pPr>
      <w:ind w:left="200" w:firstLine="3784"/>
      <w:jc w:val="center"/>
      <w:spacing w:after="120" w:line="360" w:lineRule="auto"/>
    </w:pPr>
    <w:rPr>
      <w:rFonts w:ascii="Calibri" w:hAnsi="Calibri"/>
    </w:rPr>
  </w:style>
  <w:style w:type="paragraph" w:styleId="1228" w:customStyle="1">
    <w:name w:val="Char Char"/>
    <w:next w:val="1221"/>
    <w:pPr>
      <w:ind w:firstLine="14"/>
      <w:spacing w:line="360" w:lineRule="auto"/>
      <w:shd w:val="clear" w:color="000000" w:fill="000080"/>
    </w:pPr>
    <w:rPr>
      <w:rFonts w:ascii="Calibri" w:hAnsi="Calibri"/>
    </w:rPr>
  </w:style>
  <w:style w:type="paragraph" w:styleId="1229" w:customStyle="1">
    <w:name w:val="正文_0_0"/>
    <w:next w:val="1061"/>
    <w:pPr>
      <w:ind w:firstLine="3584"/>
      <w:jc w:val="both"/>
      <w:widowControl w:val="off"/>
    </w:pPr>
    <w:rPr>
      <w:rFonts w:ascii="Calibri" w:hAnsi="Calibri"/>
    </w:rPr>
  </w:style>
  <w:style w:type="paragraph" w:styleId="1230" w:customStyle="1">
    <w:name w:val="font7"/>
    <w:basedOn w:val="842"/>
    <w:next w:val="1231"/>
    <w:pPr>
      <w:ind w:left="0" w:firstLine="3584"/>
      <w:spacing w:before="280" w:after="280" w:line="240" w:lineRule="auto"/>
    </w:pPr>
    <w:rPr>
      <w:rFonts w:ascii="Times New Roman" w:hAnsi="Times New Roman" w:cs="Times New Roman"/>
    </w:rPr>
  </w:style>
  <w:style w:type="paragraph" w:styleId="1231" w:customStyle="1">
    <w:name w:val="Char Char Char Char Char Char1 Char Char Char Char Char Char1 Char Char Char1"/>
    <w:basedOn w:val="842"/>
    <w:next w:val="1232"/>
    <w:pPr>
      <w:ind w:left="0" w:firstLine="2560"/>
      <w:spacing w:before="0" w:after="0" w:line="240" w:lineRule="auto"/>
    </w:pPr>
    <w:rPr>
      <w:rFonts w:ascii="Times New Roman" w:hAnsi="Times New Roman" w:cs="Times New Roman"/>
    </w:rPr>
  </w:style>
  <w:style w:type="paragraph" w:styleId="1232" w:customStyle="1">
    <w:name w:val="xl64"/>
    <w:basedOn w:val="842"/>
    <w:next w:val="1199"/>
    <w:pPr>
      <w:ind w:left="0" w:firstLine="3584"/>
      <w:spacing w:before="280" w:after="280" w:line="240" w:lineRule="auto"/>
    </w:pPr>
    <w:rPr>
      <w:rFonts w:ascii="Times New Roman" w:hAnsi="Times New Roman" w:cs="Times New Roman"/>
    </w:rPr>
  </w:style>
  <w:style w:type="paragraph" w:styleId="1233" w:customStyle="1">
    <w:name w:val="style16"/>
    <w:basedOn w:val="842"/>
    <w:next w:val="1226"/>
    <w:pPr>
      <w:ind w:left="0" w:firstLine="2048"/>
      <w:spacing w:before="280" w:after="280" w:line="240" w:lineRule="auto"/>
    </w:pPr>
    <w:rPr>
      <w:rFonts w:ascii="Times New Roman" w:hAnsi="Times New Roman" w:cs="Times New Roman"/>
    </w:rPr>
  </w:style>
  <w:style w:type="paragraph" w:styleId="1234" w:customStyle="1">
    <w:name w:val="索引 11"/>
    <w:basedOn w:val="842"/>
    <w:next w:val="841"/>
    <w:pPr>
      <w:ind w:left="0" w:firstLine="3584"/>
      <w:spacing w:before="0" w:after="0" w:line="240" w:lineRule="auto"/>
    </w:pPr>
    <w:rPr>
      <w:rFonts w:ascii="Times New Roman" w:hAnsi="Times New Roman" w:cs="Times New Roman"/>
    </w:rPr>
  </w:style>
  <w:style w:type="paragraph" w:styleId="1235" w:customStyle="1">
    <w:name w:val="H 3"/>
    <w:basedOn w:val="845"/>
    <w:next w:val="1236"/>
    <w:pPr>
      <w:ind w:left="1429" w:firstLine="18"/>
      <w:spacing w:before="0" w:after="0" w:line="360" w:lineRule="auto"/>
      <w:outlineLvl w:val="2"/>
    </w:pPr>
  </w:style>
  <w:style w:type="paragraph" w:styleId="1236" w:customStyle="1">
    <w:name w:val="xl83"/>
    <w:basedOn w:val="842"/>
    <w:next w:val="1217"/>
    <w:pPr>
      <w:ind w:left="0" w:firstLine="5120"/>
      <w:spacing w:before="280" w:after="280" w:line="240" w:lineRule="auto"/>
    </w:pPr>
    <w:rPr>
      <w:rFonts w:ascii="Times New Roman" w:hAnsi="Times New Roman" w:cs="Times New Roman"/>
    </w:rPr>
  </w:style>
  <w:style w:type="paragraph" w:styleId="1237" w:customStyle="1">
    <w:name w:val="表格文字（居中）"/>
    <w:basedOn w:val="842"/>
    <w:next w:val="1233"/>
    <w:qFormat/>
    <w:pPr>
      <w:ind w:left="0" w:firstLine="2560"/>
      <w:jc w:val="center"/>
      <w:spacing w:before="0" w:after="0" w:line="360" w:lineRule="auto"/>
    </w:pPr>
    <w:rPr>
      <w:rFonts w:ascii="Times New Roman" w:hAnsi="Times New Roman" w:cs="Times New Roman"/>
    </w:rPr>
  </w:style>
  <w:style w:type="paragraph" w:styleId="1238" w:customStyle="1">
    <w:name w:val="正文首行缩进两字符"/>
    <w:basedOn w:val="842"/>
    <w:next w:val="1220"/>
    <w:pPr>
      <w:ind w:left="200" w:firstLine="3784"/>
      <w:spacing w:before="0" w:after="0" w:line="360" w:lineRule="auto"/>
    </w:pPr>
    <w:rPr>
      <w:rFonts w:ascii="Times New Roman" w:hAnsi="Times New Roman" w:cs="Times New Roman"/>
    </w:rPr>
  </w:style>
  <w:style w:type="paragraph" w:styleId="1239" w:customStyle="1">
    <w:name w:val="1"/>
    <w:basedOn w:val="842"/>
    <w:next w:val="875"/>
    <w:pPr>
      <w:ind w:left="0" w:firstLine="2048"/>
      <w:spacing w:before="0" w:after="0" w:line="240" w:lineRule="auto"/>
    </w:pPr>
    <w:rPr>
      <w:rFonts w:ascii="Times New Roman" w:hAnsi="Times New Roman" w:cs="Times New Roman"/>
    </w:rPr>
  </w:style>
  <w:style w:type="paragraph" w:styleId="1240" w:customStyle="1">
    <w:name w:val="_Style 398"/>
    <w:basedOn w:val="842"/>
    <w:next w:val="841"/>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1" w:customStyle="1">
    <w:name w:val="Table Paragraph"/>
    <w:basedOn w:val="841"/>
    <w:uiPriority w:val="1"/>
    <w:qFormat/>
    <w:rPr>
      <w:rFonts w:ascii="宋体" w:hAnsi="宋体"/>
      <w:lang w:val="zh-CN" w:bidi="zh-CN"/>
    </w:rPr>
  </w:style>
  <w:style w:type="paragraph" w:styleId="1242" w:customStyle="1">
    <w:name w:val="_Style 400"/>
    <w:rPr>
      <w:rFonts w:ascii="Calibri" w:hAnsi="Calibri"/>
    </w:rPr>
  </w:style>
  <w:style w:type="paragraph" w:styleId="1243" w:customStyle="1">
    <w:name w:val="Style1"/>
    <w:basedOn w:val="841"/>
    <w:qFormat/>
    <w:pPr>
      <w:ind w:left="0"/>
      <w:tabs>
        <w:tab w:val="left" w:pos="-720" w:leader="none"/>
      </w:tabs>
    </w:pPr>
    <w:rPr>
      <w:rFonts w:ascii="Times New Roman" w:hAnsi="Times New Roman" w:cs="Times New Roman"/>
      <w:spacing w:val="-3"/>
      <w:sz w:val="24"/>
      <w:szCs w:val="24"/>
      <w:lang w:val="en-AU" w:eastAsia="en-US"/>
    </w:rPr>
  </w:style>
  <w:style w:type="paragraph" w:styleId="1244" w:customStyle="1">
    <w:name w:val="msolistparagraph"/>
    <w:basedOn w:val="842"/>
    <w:next w:val="1109"/>
    <w:qFormat/>
    <w:pPr>
      <w:ind w:left="420" w:firstLine="3748"/>
      <w:spacing w:before="0" w:after="0" w:line="240" w:lineRule="auto"/>
    </w:pPr>
    <w:rPr>
      <w:rFonts w:ascii="Times New Roman" w:hAnsi="Times New Roman" w:cs="Times New Roman"/>
    </w:rPr>
  </w:style>
  <w:style w:type="paragraph" w:styleId="1245" w:customStyle="1">
    <w:name w:val="Char1 Char Char Char"/>
    <w:basedOn w:val="842"/>
    <w:next w:val="1246"/>
    <w:pPr>
      <w:ind w:left="0" w:firstLine="2560"/>
      <w:spacing w:before="0" w:after="0" w:line="240" w:lineRule="auto"/>
    </w:pPr>
    <w:rPr>
      <w:rFonts w:ascii="Times New Roman" w:hAnsi="Times New Roman" w:cs="Times New Roman"/>
    </w:rPr>
  </w:style>
  <w:style w:type="paragraph" w:styleId="1246" w:customStyle="1">
    <w:name w:val="xl24"/>
    <w:basedOn w:val="842"/>
    <w:next w:val="1191"/>
    <w:pPr>
      <w:ind w:left="0" w:firstLine="20"/>
      <w:jc w:val="center"/>
      <w:spacing w:before="280" w:after="280" w:line="240" w:lineRule="auto"/>
      <w:shd w:val="clear" w:color="000000" w:fill="ffffff"/>
    </w:pPr>
    <w:rPr>
      <w:rFonts w:ascii="Times New Roman" w:hAnsi="Times New Roman" w:cs="Times New Roman"/>
    </w:rPr>
  </w:style>
  <w:style w:type="paragraph" w:styleId="1247" w:customStyle="1">
    <w:name w:val="表格文字"/>
    <w:next w:val="1205"/>
    <w:qFormat/>
    <w:pPr>
      <w:ind w:firstLine="3584"/>
    </w:pPr>
    <w:rPr>
      <w:rFonts w:ascii="Calibri" w:hAnsi="Calibri"/>
    </w:rPr>
  </w:style>
  <w:style w:type="paragraph" w:styleId="1248" w:customStyle="1">
    <w:name w:val="xl72"/>
    <w:basedOn w:val="842"/>
    <w:next w:val="1104"/>
    <w:qFormat/>
    <w:pPr>
      <w:ind w:left="0" w:firstLine="3584"/>
      <w:spacing w:before="280" w:after="280" w:line="240" w:lineRule="auto"/>
    </w:pPr>
    <w:rPr>
      <w:rFonts w:ascii="Times New Roman" w:hAnsi="Times New Roman" w:cs="Times New Roman"/>
    </w:rPr>
  </w:style>
  <w:style w:type="paragraph" w:styleId="1249" w:customStyle="1">
    <w:name w:val="插图"/>
    <w:next w:val="841"/>
    <w:qFormat/>
    <w:pPr>
      <w:ind w:firstLine="4608"/>
      <w:jc w:val="center"/>
    </w:pPr>
    <w:rPr>
      <w:rFonts w:ascii="Calibri" w:hAnsi="Calibri"/>
    </w:rPr>
  </w:style>
  <w:style w:type="paragraph" w:styleId="1250" w:customStyle="1">
    <w:name w:val="列出段落3"/>
    <w:basedOn w:val="842"/>
    <w:next w:val="1144"/>
    <w:qFormat/>
    <w:pPr>
      <w:ind w:left="420" w:firstLine="3748"/>
      <w:spacing w:before="0" w:after="0" w:line="240" w:lineRule="auto"/>
    </w:pPr>
    <w:rPr>
      <w:rFonts w:ascii="Times New Roman" w:hAnsi="Times New Roman" w:cs="Times New Roman"/>
    </w:rPr>
  </w:style>
  <w:style w:type="paragraph" w:styleId="1251" w:customStyle="1">
    <w:name w:val="目录标题"/>
    <w:basedOn w:val="842"/>
    <w:next w:val="841"/>
    <w:qFormat/>
    <w:pPr>
      <w:ind w:left="419" w:firstLine="7331"/>
      <w:jc w:val="center"/>
      <w:spacing w:before="566" w:after="544" w:line="566" w:lineRule="atLeast"/>
    </w:pPr>
    <w:rPr>
      <w:rFonts w:ascii="Times New Roman" w:hAnsi="Times New Roman" w:cs="Times New Roman"/>
    </w:rPr>
  </w:style>
  <w:style w:type="paragraph" w:styleId="1252" w:customStyle="1">
    <w:name w:val="默认段落字体 Para Char Char Char Char Char Char Char Char Char1 Char Char Char Char"/>
    <w:basedOn w:val="842"/>
    <w:next w:val="1147"/>
    <w:qFormat/>
    <w:pPr>
      <w:ind w:left="0" w:firstLine="2560"/>
      <w:spacing w:before="0" w:after="0" w:line="240" w:lineRule="auto"/>
    </w:pPr>
    <w:rPr>
      <w:rFonts w:ascii="Times New Roman" w:hAnsi="Times New Roman" w:cs="Times New Roman"/>
    </w:rPr>
  </w:style>
  <w:style w:type="paragraph" w:styleId="1253" w:customStyle="1">
    <w:name w:val="WPSOffice手动目录 2"/>
    <w:qFormat/>
    <w:pPr>
      <w:ind w:left="200"/>
    </w:pPr>
  </w:style>
  <w:style w:type="paragraph" w:styleId="1254" w:customStyle="1">
    <w:name w:val="表内文字"/>
    <w:basedOn w:val="842"/>
    <w:next w:val="883"/>
    <w:qFormat/>
    <w:pPr>
      <w:ind w:left="0" w:firstLine="7680"/>
      <w:jc w:val="center"/>
      <w:spacing w:before="50" w:after="50" w:line="240" w:lineRule="auto"/>
    </w:pPr>
    <w:rPr>
      <w:rFonts w:ascii="Times New Roman" w:hAnsi="Times New Roman" w:cs="Times New Roman"/>
    </w:rPr>
  </w:style>
  <w:style w:type="paragraph" w:styleId="1255" w:customStyle="1">
    <w:name w:val="xl66"/>
    <w:basedOn w:val="842"/>
    <w:next w:val="1237"/>
    <w:qFormat/>
    <w:pPr>
      <w:ind w:left="0" w:firstLine="3584"/>
      <w:spacing w:before="280" w:after="280" w:line="240" w:lineRule="auto"/>
    </w:pPr>
    <w:rPr>
      <w:rFonts w:ascii="Times New Roman" w:hAnsi="Times New Roman" w:cs="Times New Roman"/>
    </w:rPr>
  </w:style>
  <w:style w:type="paragraph" w:styleId="1256" w:customStyle="1">
    <w:name w:val="*正文"/>
    <w:basedOn w:val="841"/>
    <w:qFormat/>
    <w:pPr>
      <w:ind w:left="0" w:firstLine="200"/>
      <w:spacing w:line="360" w:lineRule="auto"/>
    </w:pPr>
    <w:rPr>
      <w:rFonts w:ascii="仿宋_GB2312" w:hAnsi="Times New Roman" w:eastAsia="仿宋_GB2312" w:cs="Times New Roman"/>
      <w:sz w:val="24"/>
      <w:szCs w:val="28"/>
    </w:rPr>
  </w:style>
  <w:style w:type="paragraph" w:styleId="1257" w:customStyle="1">
    <w:name w:val="0"/>
    <w:basedOn w:val="842"/>
    <w:next w:val="1150"/>
    <w:qFormat/>
    <w:pPr>
      <w:ind w:left="0" w:firstLine="2815"/>
      <w:spacing w:before="0" w:after="0" w:line="360" w:lineRule="auto"/>
    </w:pPr>
    <w:rPr>
      <w:rFonts w:ascii="Times New Roman" w:hAnsi="Times New Roman" w:cs="Times New Roman"/>
    </w:rPr>
  </w:style>
  <w:style w:type="table" w:styleId="1258" w:customStyle="1">
    <w:name w:val="网格型1"/>
    <w:basedOn w:val="852"/>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9" w:customStyle="1">
    <w:name w:val="font61"/>
    <w:qFormat/>
    <w:rPr>
      <w:rFonts w:hint="default" w:ascii="Times New Roman" w:hAnsi="Times New Roman" w:cs="Times New Roman"/>
      <w:b/>
      <w:bCs/>
      <w:color w:val="000000"/>
      <w:sz w:val="24"/>
      <w:szCs w:val="24"/>
      <w:u w:val="none"/>
    </w:rPr>
  </w:style>
  <w:style w:type="character" w:styleId="1260" w:customStyle="1">
    <w:name w:val="脚注文本 字符"/>
    <w:basedOn w:val="851"/>
    <w:link w:val="891"/>
    <w:qFormat/>
    <w:rPr>
      <w:rFonts w:ascii="Times New Roman" w:hAnsi="Times New Roman" w:cs="Times New Roman"/>
    </w:rPr>
  </w:style>
  <w:style w:type="paragraph" w:styleId="1261">
    <w:name w:val="Revision"/>
    <w:hidden/>
    <w:uiPriority w:val="99"/>
    <w:semiHidden/>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189</cp:revision>
  <dcterms:created xsi:type="dcterms:W3CDTF">2023-12-20T13:18:00Z</dcterms:created>
  <dcterms:modified xsi:type="dcterms:W3CDTF">2025-11-25T07:26:35Z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